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F87DA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附件1</w:t>
      </w:r>
    </w:p>
    <w:p w14:paraId="6C0AF804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长三角科学道德和学风建设论坛</w:t>
      </w:r>
    </w:p>
    <w:p w14:paraId="7601B760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学术论文选题及要求</w:t>
      </w:r>
    </w:p>
    <w:p w14:paraId="76E3E5BD">
      <w:pPr>
        <w:pStyle w:val="2"/>
        <w:adjustRightInd w:val="0"/>
        <w:snapToGrid w:val="0"/>
        <w:spacing w:line="380" w:lineRule="exact"/>
        <w:ind w:left="220" w:firstLine="420"/>
        <w:rPr>
          <w:rFonts w:ascii="new" w:hAnsi="new" w:eastAsia="黑体" w:cs="仿宋_GB2312"/>
          <w:lang w:eastAsia="zh-CN"/>
        </w:rPr>
      </w:pPr>
      <w:r>
        <w:rPr>
          <w:rFonts w:hint="eastAsia" w:ascii="new" w:hAnsi="黑体" w:eastAsia="黑体" w:cs="仿宋_GB2312"/>
        </w:rPr>
        <w:t>一、参考选题</w:t>
      </w:r>
    </w:p>
    <w:p w14:paraId="49687D53">
      <w:pPr>
        <w:widowControl/>
        <w:shd w:val="clear" w:color="auto" w:fill="FFFFFF"/>
        <w:spacing w:line="380" w:lineRule="exact"/>
        <w:ind w:firstLine="840" w:firstLineChars="350"/>
        <w:rPr>
          <w:rFonts w:ascii="new" w:hAnsi="new" w:eastAsia="楷体_GB2312" w:cs="仿宋_GB2312"/>
          <w:sz w:val="24"/>
          <w:szCs w:val="24"/>
        </w:rPr>
      </w:pPr>
      <w:r>
        <w:rPr>
          <w:rFonts w:ascii="new" w:hAnsi="new" w:eastAsia="楷体_GB2312" w:cs="仿宋_GB2312"/>
          <w:sz w:val="24"/>
          <w:szCs w:val="24"/>
        </w:rPr>
        <w:t>（</w:t>
      </w:r>
      <w:r>
        <w:rPr>
          <w:rFonts w:hint="eastAsia" w:ascii="new" w:hAnsi="new" w:eastAsia="楷体_GB2312" w:cs="仿宋_GB2312"/>
          <w:sz w:val="24"/>
          <w:szCs w:val="24"/>
        </w:rPr>
        <w:t>一</w:t>
      </w:r>
      <w:r>
        <w:rPr>
          <w:rFonts w:ascii="new" w:hAnsi="new" w:eastAsia="楷体_GB2312" w:cs="仿宋_GB2312"/>
          <w:sz w:val="24"/>
          <w:szCs w:val="24"/>
        </w:rPr>
        <w:t>）</w:t>
      </w:r>
      <w:r>
        <w:rPr>
          <w:rFonts w:hint="eastAsia" w:ascii="new" w:hAnsi="new" w:eastAsia="楷体_GB2312" w:cs="仿宋_GB2312"/>
          <w:sz w:val="24"/>
          <w:szCs w:val="24"/>
        </w:rPr>
        <w:t>弘扬科学家精神专题研究</w:t>
      </w:r>
    </w:p>
    <w:p w14:paraId="4AD4459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1.习近平总书记关于科学家精神的重要论述研究</w:t>
      </w:r>
    </w:p>
    <w:p w14:paraId="2F1DB72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2.关于科技、教育、人才的论述研究</w:t>
      </w:r>
    </w:p>
    <w:p w14:paraId="7675E72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3.科学家精神与新质生产力培养研究</w:t>
      </w:r>
    </w:p>
    <w:p w14:paraId="7CBA96CD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4.科学家精神的时代意义与内涵建设研究</w:t>
      </w:r>
    </w:p>
    <w:p w14:paraId="4F93327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5.科学家精神与建设上海人才教育高地研究</w:t>
      </w:r>
    </w:p>
    <w:p w14:paraId="70B2EA8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6.科学家精神促进科技自立自强研究</w:t>
      </w:r>
    </w:p>
    <w:p w14:paraId="5726A13B">
      <w:pPr>
        <w:pStyle w:val="2"/>
        <w:adjustRightInd w:val="0"/>
        <w:snapToGrid w:val="0"/>
        <w:spacing w:line="380" w:lineRule="exact"/>
        <w:ind w:firstLine="480" w:firstLineChars="200"/>
        <w:rPr>
          <w:rFonts w:ascii="仿宋_GB2312" w:hAnsi="new" w:eastAsia="仿宋_GB2312" w:cs="仿宋_GB2312"/>
          <w:lang w:eastAsia="zh-CN"/>
        </w:rPr>
      </w:pPr>
      <w:r>
        <w:rPr>
          <w:rFonts w:hint="eastAsia" w:ascii="仿宋_GB2312" w:hAnsi="new" w:eastAsia="仿宋_GB2312" w:cs="仿宋_GB2312"/>
        </w:rPr>
        <w:t>7.新时代研究生群体科学家精神培育研究</w:t>
      </w:r>
    </w:p>
    <w:p w14:paraId="5B5736B3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8.科学家精神融入卓越工程师培养路径研究</w:t>
      </w:r>
    </w:p>
    <w:p w14:paraId="510CA2CB">
      <w:pPr>
        <w:widowControl/>
        <w:shd w:val="clear" w:color="auto" w:fill="FFFFFF"/>
        <w:spacing w:line="380" w:lineRule="exact"/>
        <w:ind w:firstLine="840" w:firstLineChars="350"/>
        <w:rPr>
          <w:rFonts w:ascii="new" w:hAnsi="new" w:eastAsia="楷体_GB2312" w:cs="仿宋_GB2312"/>
          <w:sz w:val="24"/>
          <w:szCs w:val="24"/>
        </w:rPr>
      </w:pPr>
      <w:r>
        <w:rPr>
          <w:rFonts w:ascii="new" w:hAnsi="new" w:eastAsia="楷体_GB2312" w:cs="仿宋_GB2312"/>
          <w:sz w:val="24"/>
          <w:szCs w:val="24"/>
        </w:rPr>
        <w:t>（</w:t>
      </w:r>
      <w:r>
        <w:rPr>
          <w:rFonts w:hint="eastAsia" w:ascii="new" w:hAnsi="new" w:eastAsia="楷体_GB2312" w:cs="仿宋_GB2312"/>
          <w:sz w:val="24"/>
          <w:szCs w:val="24"/>
        </w:rPr>
        <w:t>二</w:t>
      </w:r>
      <w:r>
        <w:rPr>
          <w:rFonts w:ascii="new" w:hAnsi="new" w:eastAsia="楷体_GB2312" w:cs="仿宋_GB2312"/>
          <w:sz w:val="24"/>
          <w:szCs w:val="24"/>
        </w:rPr>
        <w:t>）</w:t>
      </w:r>
      <w:r>
        <w:rPr>
          <w:rFonts w:hint="eastAsia" w:ascii="new" w:hAnsi="new" w:eastAsia="楷体_GB2312" w:cs="仿宋_GB2312"/>
          <w:sz w:val="24"/>
          <w:szCs w:val="24"/>
        </w:rPr>
        <w:t>研究生学风建设、</w:t>
      </w:r>
      <w:r>
        <w:rPr>
          <w:rFonts w:ascii="new" w:hAnsi="new" w:eastAsia="楷体_GB2312" w:cs="仿宋_GB2312"/>
          <w:sz w:val="24"/>
          <w:szCs w:val="24"/>
        </w:rPr>
        <w:t>学风传承</w:t>
      </w:r>
      <w:r>
        <w:rPr>
          <w:rFonts w:hint="eastAsia" w:ascii="new" w:hAnsi="new" w:eastAsia="楷体_GB2312" w:cs="仿宋_GB2312"/>
          <w:sz w:val="24"/>
          <w:szCs w:val="24"/>
        </w:rPr>
        <w:t>专题研究</w:t>
      </w:r>
    </w:p>
    <w:p w14:paraId="33E711F9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 xml:space="preserve">研究生学风建设问题现状及对策研究 </w:t>
      </w:r>
    </w:p>
    <w:p w14:paraId="1B4E1CC3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高校党建与研究生学风建设协调建设研究</w:t>
      </w:r>
    </w:p>
    <w:p w14:paraId="20D5E34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 研究生学风建设长效机制研究</w:t>
      </w:r>
    </w:p>
    <w:p w14:paraId="1538742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 研究生学风建设的数字化赋能建设研究</w:t>
      </w:r>
    </w:p>
    <w:p w14:paraId="5A88132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辅导员工作视角下研究生学风建设研究</w:t>
      </w:r>
    </w:p>
    <w:p w14:paraId="15A5A55E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研究生分类培养视角下学风建设多元化路径研究</w:t>
      </w:r>
    </w:p>
    <w:p w14:paraId="0947D5E8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7. 研究生学术道德建设长效机制研究</w:t>
      </w:r>
    </w:p>
    <w:p w14:paraId="4230D2AD">
      <w:pPr>
        <w:widowControl/>
        <w:shd w:val="clear" w:color="auto" w:fill="FFFFFF"/>
        <w:spacing w:line="380" w:lineRule="exact"/>
        <w:ind w:firstLine="840" w:firstLineChars="350"/>
        <w:rPr>
          <w:rFonts w:hint="eastAsia" w:ascii="new" w:hAnsi="new" w:eastAsia="楷体_GB2312" w:cs="仿宋_GB2312"/>
          <w:sz w:val="24"/>
          <w:szCs w:val="24"/>
        </w:rPr>
      </w:pPr>
      <w:r>
        <w:rPr>
          <w:rFonts w:hint="eastAsia" w:ascii="new" w:hAnsi="new" w:eastAsia="楷体_GB2312" w:cs="仿宋_GB2312"/>
          <w:sz w:val="24"/>
          <w:szCs w:val="24"/>
        </w:rPr>
        <w:t>（三）学术规范与研究生导学</w:t>
      </w:r>
      <w:r>
        <w:rPr>
          <w:rFonts w:ascii="new" w:hAnsi="new" w:eastAsia="楷体_GB2312" w:cs="仿宋_GB2312"/>
          <w:sz w:val="24"/>
          <w:szCs w:val="24"/>
        </w:rPr>
        <w:t>关系</w:t>
      </w:r>
      <w:r>
        <w:rPr>
          <w:rFonts w:hint="eastAsia" w:ascii="new" w:hAnsi="new" w:eastAsia="楷体_GB2312" w:cs="仿宋_GB2312"/>
          <w:sz w:val="24"/>
          <w:szCs w:val="24"/>
        </w:rPr>
        <w:t>专题</w:t>
      </w:r>
      <w:r>
        <w:rPr>
          <w:rFonts w:ascii="new" w:hAnsi="new" w:eastAsia="楷体_GB2312" w:cs="仿宋_GB2312"/>
          <w:sz w:val="24"/>
          <w:szCs w:val="24"/>
        </w:rPr>
        <w:t>研究</w:t>
      </w:r>
    </w:p>
    <w:p w14:paraId="46FB0F1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1.“导学思政”视域下研究生学风建设实践研究</w:t>
      </w:r>
    </w:p>
    <w:p w14:paraId="021A0CC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学术规范与和谐导学关系的构建路径研究</w:t>
      </w:r>
    </w:p>
    <w:p w14:paraId="3A732B2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3</w:t>
      </w:r>
      <w:r>
        <w:rPr>
          <w:rFonts w:hint="eastAsia" w:ascii="仿宋_GB2312" w:hAnsi="new" w:eastAsia="仿宋_GB2312" w:cs="仿宋_GB2312"/>
        </w:rPr>
        <w:t>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>学术规范</w:t>
      </w:r>
      <w:r>
        <w:rPr>
          <w:rFonts w:hint="eastAsia" w:ascii="仿宋_GB2312" w:hAnsi="new" w:eastAsia="仿宋_GB2312" w:cs="仿宋_GB2312"/>
          <w:lang w:eastAsia="zh-CN"/>
        </w:rPr>
        <w:t>与</w:t>
      </w:r>
      <w:r>
        <w:rPr>
          <w:rFonts w:hint="eastAsia" w:ascii="仿宋_GB2312" w:hAnsi="new" w:eastAsia="仿宋_GB2312" w:cs="仿宋_GB2312"/>
        </w:rPr>
        <w:t>研究生教育中导学关系发展及趋势研究</w:t>
      </w:r>
    </w:p>
    <w:p w14:paraId="33FE2C1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4</w:t>
      </w:r>
      <w:r>
        <w:rPr>
          <w:rFonts w:hint="eastAsia" w:ascii="仿宋_GB2312" w:hAnsi="new" w:eastAsia="仿宋_GB2312" w:cs="仿宋_GB2312"/>
        </w:rPr>
        <w:t>. 学术规范视域下高校导学关系现状、影响因素及对策研究</w:t>
      </w:r>
    </w:p>
    <w:p w14:paraId="158CA50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学术规范视域下导学关系评价模型及其提升建议研究</w:t>
      </w:r>
    </w:p>
    <w:p w14:paraId="148F5EA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以卓越工程师培养为导向的校企双导师协同育人机制研究</w:t>
      </w:r>
    </w:p>
    <w:p w14:paraId="27F6E441">
      <w:pPr>
        <w:widowControl/>
        <w:shd w:val="clear" w:color="auto" w:fill="FFFFFF"/>
        <w:spacing w:line="380" w:lineRule="exact"/>
        <w:ind w:firstLine="720" w:firstLineChars="300"/>
        <w:rPr>
          <w:rFonts w:ascii="new" w:hAnsi="new" w:eastAsia="楷体_GB2312" w:cs="仿宋_GB2312"/>
          <w:sz w:val="24"/>
          <w:szCs w:val="24"/>
        </w:rPr>
      </w:pPr>
      <w:r>
        <w:rPr>
          <w:rFonts w:hint="eastAsia" w:ascii="new" w:hAnsi="new" w:eastAsia="楷体_GB2312" w:cs="仿宋_GB2312"/>
          <w:sz w:val="24"/>
          <w:szCs w:val="24"/>
        </w:rPr>
        <w:t>（四）</w:t>
      </w:r>
      <w:r>
        <w:rPr>
          <w:rFonts w:ascii="new" w:hAnsi="new" w:eastAsia="楷体_GB2312" w:cs="仿宋_GB2312"/>
          <w:sz w:val="24"/>
          <w:szCs w:val="24"/>
        </w:rPr>
        <w:t>与论坛主题相关的其他选题</w:t>
      </w:r>
    </w:p>
    <w:p w14:paraId="363501A2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二、基本结构</w:t>
      </w:r>
    </w:p>
    <w:p w14:paraId="4DB0AEA7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本次论文结构包括前置部分、主体部分和结尾部分。</w:t>
      </w:r>
    </w:p>
    <w:p w14:paraId="3518DF81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三、前置部分</w:t>
      </w:r>
    </w:p>
    <w:p w14:paraId="09787C52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标  题：字数不超过</w:t>
      </w:r>
      <w:r>
        <w:rPr>
          <w:rFonts w:ascii="new" w:hAnsi="new" w:eastAsia="仿宋_GB2312" w:cs="仿宋_GB2312"/>
        </w:rPr>
        <w:t>20字</w:t>
      </w:r>
    </w:p>
    <w:p w14:paraId="230170BC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摘  要：字数一般为</w:t>
      </w:r>
      <w:r>
        <w:rPr>
          <w:rFonts w:ascii="new" w:hAnsi="new" w:eastAsia="仿宋_GB2312" w:cs="仿宋_GB2312"/>
        </w:rPr>
        <w:t>200字左右</w:t>
      </w:r>
    </w:p>
    <w:p w14:paraId="2BB98F08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关键词</w:t>
      </w:r>
      <w:r>
        <w:rPr>
          <w:rFonts w:ascii="new" w:hAnsi="new" w:eastAsia="仿宋_GB2312" w:cs="仿宋_GB2312"/>
        </w:rPr>
        <w:t>:</w:t>
      </w:r>
      <w:r>
        <w:rPr>
          <w:rFonts w:hint="eastAsia" w:ascii="new" w:hAnsi="new" w:eastAsia="仿宋_GB2312" w:cs="仿宋_GB2312"/>
        </w:rPr>
        <w:t xml:space="preserve">  </w:t>
      </w:r>
      <w:r>
        <w:rPr>
          <w:rFonts w:ascii="new" w:hAnsi="new" w:eastAsia="仿宋_GB2312" w:cs="仿宋_GB2312"/>
        </w:rPr>
        <w:t>3至7个</w:t>
      </w:r>
    </w:p>
    <w:p w14:paraId="35B85B07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四、主体部分</w:t>
      </w:r>
    </w:p>
    <w:p w14:paraId="088804A9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论文主体论述部分应层次分明、数据可靠、图表规范，文字简炼、说明透彻、推理严谨、立论正确。文中如出现非通用性的新名词、新术语，</w:t>
      </w:r>
      <w:r>
        <w:rPr>
          <w:rFonts w:hint="eastAsia" w:ascii="new" w:hAnsi="new" w:eastAsia="仿宋_GB2312" w:cs="仿宋_GB2312"/>
          <w:lang w:eastAsia="zh-CN"/>
        </w:rPr>
        <w:t>需</w:t>
      </w:r>
      <w:r>
        <w:rPr>
          <w:rFonts w:hint="eastAsia" w:ascii="new" w:hAnsi="new" w:eastAsia="仿宋_GB2312" w:cs="仿宋_GB2312"/>
        </w:rPr>
        <w:t>作相应解释。篇幅控制在</w:t>
      </w:r>
      <w:r>
        <w:rPr>
          <w:rFonts w:ascii="new" w:hAnsi="new" w:eastAsia="仿宋_GB2312" w:cs="仿宋_GB2312"/>
        </w:rPr>
        <w:t>5000字以内。</w:t>
      </w:r>
    </w:p>
    <w:p w14:paraId="32FF2384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黑体" w:eastAsia="黑体" w:cs="仿宋_GB2312"/>
        </w:rPr>
      </w:pPr>
      <w:r>
        <w:rPr>
          <w:rFonts w:hint="eastAsia" w:ascii="new" w:hAnsi="黑体" w:eastAsia="黑体" w:cs="仿宋_GB2312"/>
        </w:rPr>
        <w:t>五、参考文献</w:t>
      </w:r>
    </w:p>
    <w:p w14:paraId="049D368E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遵照国家标准《信息与文献参考文献著录规则》（</w:t>
      </w:r>
      <w:r>
        <w:rPr>
          <w:rFonts w:ascii="new" w:hAnsi="new" w:eastAsia="仿宋_GB2312" w:cs="仿宋_GB2312"/>
        </w:rPr>
        <w:t>GB/T7714-2015）执行。所有被引用文献均要列入参考文献中</w:t>
      </w:r>
      <w:r>
        <w:rPr>
          <w:rFonts w:hint="eastAsia" w:ascii="new" w:hAnsi="new" w:eastAsia="仿宋_GB2312" w:cs="仿宋_GB2312"/>
        </w:rPr>
        <w:t>，编排格式如下：</w:t>
      </w:r>
    </w:p>
    <w:p w14:paraId="5EC36EAC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专著：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题名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文献类型标志</w:t>
      </w:r>
      <w:r>
        <w:rPr>
          <w:rFonts w:ascii="new" w:hAnsi="new" w:eastAsia="仿宋_GB2312" w:cs="仿宋_GB2312"/>
        </w:rPr>
        <w:t>].</w:t>
      </w:r>
      <w:r>
        <w:rPr>
          <w:rFonts w:hint="eastAsia" w:ascii="new" w:hAnsi="new" w:eastAsia="仿宋_GB2312" w:cs="仿宋_GB2312"/>
        </w:rPr>
        <w:t>出版地：出版者，出版年份：起止页码</w:t>
      </w:r>
    </w:p>
    <w:p w14:paraId="5F4EA4AD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学术期刊：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文献题名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文献类型标志</w:t>
      </w:r>
      <w:r>
        <w:rPr>
          <w:rFonts w:ascii="new" w:hAnsi="new" w:eastAsia="仿宋_GB2312" w:cs="仿宋_GB2312"/>
        </w:rPr>
        <w:t>].</w:t>
      </w:r>
      <w:r>
        <w:rPr>
          <w:rFonts w:hint="eastAsia" w:ascii="new" w:hAnsi="new" w:eastAsia="仿宋_GB2312" w:cs="仿宋_GB2312"/>
        </w:rPr>
        <w:t>刊名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年，卷（期）号，起止页码</w:t>
      </w:r>
    </w:p>
    <w:p w14:paraId="349F70B2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学位论文：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论文题目</w:t>
      </w:r>
      <w:r>
        <w:rPr>
          <w:rFonts w:ascii="new" w:hAnsi="new" w:eastAsia="仿宋_GB2312" w:cs="仿宋_GB2312"/>
        </w:rPr>
        <w:t>.[</w:t>
      </w:r>
      <w:r>
        <w:rPr>
          <w:rFonts w:hint="eastAsia" w:ascii="new" w:hAnsi="new" w:eastAsia="仿宋_GB2312" w:cs="仿宋_GB2312"/>
        </w:rPr>
        <w:t>博（硕）士学位论文</w:t>
      </w:r>
      <w:r>
        <w:rPr>
          <w:rFonts w:ascii="new" w:hAnsi="new" w:eastAsia="仿宋_GB2312" w:cs="仿宋_GB2312"/>
        </w:rPr>
        <w:t xml:space="preserve">] </w:t>
      </w:r>
      <w:r>
        <w:rPr>
          <w:rFonts w:hint="eastAsia" w:ascii="new" w:hAnsi="new" w:eastAsia="仿宋_GB2312" w:cs="仿宋_GB2312"/>
        </w:rPr>
        <w:t>授予单位所在地：授予单位，授予年份，起止页码</w:t>
      </w:r>
    </w:p>
    <w:p w14:paraId="0C36B94F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电子文献：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作者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题名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出版地，出版日期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获取和访问路径</w:t>
      </w:r>
      <w:r>
        <w:rPr>
          <w:rFonts w:ascii="new" w:hAnsi="new" w:eastAsia="仿宋_GB2312" w:cs="仿宋_GB2312"/>
        </w:rPr>
        <w:t>.</w:t>
      </w:r>
    </w:p>
    <w:p w14:paraId="64223F32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报纸文章：</w:t>
      </w:r>
      <w:r>
        <w:rPr>
          <w:rFonts w:ascii="new" w:hAnsi="new" w:eastAsia="仿宋_GB2312" w:cs="仿宋_GB2312"/>
        </w:rPr>
        <w:t>[</w:t>
      </w:r>
      <w:r>
        <w:rPr>
          <w:rFonts w:hint="eastAsia" w:ascii="new" w:hAnsi="new" w:eastAsia="仿宋_GB2312" w:cs="仿宋_GB2312"/>
        </w:rPr>
        <w:t>序号</w:t>
      </w:r>
      <w:r>
        <w:rPr>
          <w:rFonts w:ascii="new" w:hAnsi="new" w:eastAsia="仿宋_GB2312" w:cs="仿宋_GB2312"/>
        </w:rPr>
        <w:t>]</w:t>
      </w:r>
      <w:r>
        <w:rPr>
          <w:rFonts w:hint="eastAsia" w:ascii="new" w:hAnsi="new" w:eastAsia="仿宋_GB2312" w:cs="仿宋_GB2312"/>
        </w:rPr>
        <w:t>主要责任者</w:t>
      </w:r>
      <w:r>
        <w:rPr>
          <w:rFonts w:ascii="new" w:hAnsi="new" w:eastAsia="仿宋_GB2312" w:cs="仿宋_GB2312"/>
        </w:rPr>
        <w:t>.</w:t>
      </w:r>
      <w:r>
        <w:rPr>
          <w:rFonts w:hint="eastAsia" w:ascii="new" w:hAnsi="new" w:eastAsia="仿宋_GB2312" w:cs="仿宋_GB2312"/>
        </w:rPr>
        <w:t>文献题名</w:t>
      </w:r>
      <w:r>
        <w:rPr>
          <w:rFonts w:ascii="new" w:hAnsi="new" w:eastAsia="仿宋_GB2312" w:cs="仿宋_GB2312"/>
        </w:rPr>
        <w:t>[N].</w:t>
      </w:r>
      <w:r>
        <w:rPr>
          <w:rFonts w:hint="eastAsia" w:ascii="new" w:hAnsi="new" w:eastAsia="仿宋_GB2312" w:cs="仿宋_GB2312"/>
        </w:rPr>
        <w:t>报纸名</w:t>
      </w:r>
      <w:r>
        <w:rPr>
          <w:rFonts w:ascii="new" w:hAnsi="new" w:eastAsia="仿宋_GB2312" w:cs="仿宋_GB2312"/>
        </w:rPr>
        <w:t>,</w:t>
      </w:r>
      <w:r>
        <w:rPr>
          <w:rFonts w:hint="eastAsia" w:ascii="new" w:hAnsi="new" w:eastAsia="仿宋_GB2312" w:cs="仿宋_GB2312"/>
        </w:rPr>
        <w:t>出版日期</w:t>
      </w:r>
    </w:p>
    <w:p w14:paraId="0BC21003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六、格式要求</w:t>
      </w:r>
    </w:p>
    <w:p w14:paraId="4C62ACAA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一级标题用</w:t>
      </w:r>
      <w:r>
        <w:rPr>
          <w:rFonts w:ascii="new" w:hAnsi="new" w:eastAsia="仿宋_GB2312" w:cs="仿宋_GB2312"/>
        </w:rPr>
        <w:t>3</w:t>
      </w:r>
      <w:r>
        <w:rPr>
          <w:rFonts w:hint="eastAsia" w:ascii="new" w:hAnsi="new" w:eastAsia="仿宋_GB2312" w:cs="仿宋_GB2312"/>
        </w:rPr>
        <w:t>号黑体；二级标题用</w:t>
      </w:r>
      <w:r>
        <w:rPr>
          <w:rFonts w:ascii="new" w:hAnsi="new" w:eastAsia="仿宋_GB2312" w:cs="仿宋_GB2312"/>
        </w:rPr>
        <w:t>4</w:t>
      </w:r>
      <w:r>
        <w:rPr>
          <w:rFonts w:hint="eastAsia" w:ascii="new" w:hAnsi="new" w:eastAsia="仿宋_GB2312" w:cs="仿宋_GB2312"/>
        </w:rPr>
        <w:t>号黑体；三级标题用小</w:t>
      </w:r>
      <w:r>
        <w:rPr>
          <w:rFonts w:ascii="new" w:hAnsi="new" w:eastAsia="仿宋_GB2312" w:cs="仿宋_GB2312"/>
        </w:rPr>
        <w:t>4</w:t>
      </w:r>
      <w:r>
        <w:rPr>
          <w:rFonts w:hint="eastAsia" w:ascii="new" w:hAnsi="new" w:eastAsia="仿宋_GB2312" w:cs="仿宋_GB2312"/>
        </w:rPr>
        <w:t>号黑体。正文内容用小</w:t>
      </w:r>
      <w:r>
        <w:rPr>
          <w:rFonts w:ascii="new" w:hAnsi="new" w:eastAsia="仿宋_GB2312" w:cs="仿宋_GB2312"/>
        </w:rPr>
        <w:t>4</w:t>
      </w:r>
      <w:r>
        <w:rPr>
          <w:rFonts w:hint="eastAsia" w:ascii="new" w:hAnsi="new" w:eastAsia="仿宋_GB2312" w:cs="仿宋_GB2312"/>
        </w:rPr>
        <w:t>号宋体，1.5倍行间距。参考文献用5号宋体，位于文章结尾。文章标题下方注明作者信息（五号宋体）：姓名、学校院系、联系手机号、电子邮箱。来稿要求为</w:t>
      </w:r>
      <w:r>
        <w:rPr>
          <w:rFonts w:ascii="new" w:hAnsi="new" w:eastAsia="仿宋_GB2312" w:cs="仿宋_GB2312"/>
        </w:rPr>
        <w:t>word文档，文件名用“论文题目+姓名+学校+手机号</w:t>
      </w:r>
      <w:r>
        <w:rPr>
          <w:rFonts w:hint="eastAsia" w:ascii="new" w:hAnsi="new" w:eastAsia="仿宋_GB2312" w:cs="仿宋_GB2312"/>
        </w:rPr>
        <w:t>”。</w:t>
      </w:r>
    </w:p>
    <w:p w14:paraId="68B07B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B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2025-05-12T01:40:19Z</dcterms:created>
  <dc:creator>lenovo</dc:creator>
  <cp:lastModifiedBy>李潇</cp:lastModifiedBy>
  <dcterms:modified xsi:type="dcterms:W3CDTF">2025-05-12T01:40:31Z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eyJoZGlkIjoiMGI2MTZjZDJjYTE3ZmFhOTMyMDM0NmRlNDMwZDNlNDciLCJ1c2VySWQiOiIxMjMzMjM1NTcwIn0=</vt:lpwstr>
  </property>
  <property fmtid="{D5CDD505-2E9C-101B-9397-08002B2CF9AE}" pid="4" name="ICV">
    <vt:lpwstr>765629B8E60B41D0A8ED2AE4794B89B1_12</vt:lpwstr>
  </property>
</Properties>
</file>