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A6C22A">
      <w:pPr>
        <w:jc w:val="center"/>
        <w:rPr>
          <w:rFonts w:hint="default" w:ascii="Times New Roman" w:hAnsi="Times New Roman" w:eastAsia="黑体" w:cs="Times New Roman"/>
          <w:b/>
          <w:color w:val="000000"/>
          <w:sz w:val="36"/>
          <w:szCs w:val="28"/>
        </w:rPr>
      </w:pPr>
      <w:r>
        <w:rPr>
          <w:rFonts w:hint="default" w:ascii="Times New Roman" w:hAnsi="Times New Roman" w:eastAsia="黑体" w:cs="Times New Roman"/>
          <w:b/>
          <w:color w:val="000000"/>
          <w:sz w:val="36"/>
          <w:szCs w:val="28"/>
        </w:rPr>
        <w:t>2026年卓越工程师学院研究生国家奖学金评定办法</w:t>
      </w:r>
    </w:p>
    <w:p w14:paraId="5F73C7A2">
      <w:pPr>
        <w:spacing w:before="156" w:beforeLines="50"/>
        <w:ind w:firstLine="560" w:firstLineChars="200"/>
        <w:jc w:val="left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为激励我院研究生认真学习、开拓创新、全面发展，学院在《上海理工大学研究生国家奖学金管理办法》规定的框架体系下，结合本学院学科专业特点，制定学院评奖实施办法。</w:t>
      </w:r>
    </w:p>
    <w:p w14:paraId="77BE6DC9">
      <w:pPr>
        <w:pStyle w:val="6"/>
        <w:spacing w:before="0" w:beforeAutospacing="0" w:after="0" w:afterAutospacing="0"/>
        <w:ind w:left="562" w:hanging="562" w:hangingChars="200"/>
        <w:rPr>
          <w:rFonts w:hint="default" w:ascii="Times New Roman" w:hAnsi="Times New Roman" w:eastAsia="仿宋" w:cs="Times New Roman"/>
          <w:b/>
          <w:color w:val="000000"/>
          <w:kern w:val="2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000000"/>
          <w:kern w:val="2"/>
          <w:sz w:val="28"/>
          <w:szCs w:val="28"/>
        </w:rPr>
        <w:t>一、成立评审委员会</w:t>
      </w:r>
    </w:p>
    <w:p w14:paraId="5F86B35A">
      <w:pPr>
        <w:pStyle w:val="6"/>
        <w:spacing w:before="0" w:beforeAutospacing="0" w:after="0" w:afterAutospacing="0"/>
        <w:ind w:firstLine="560" w:firstLineChars="200"/>
        <w:rPr>
          <w:rFonts w:hint="default" w:ascii="Times New Roman" w:hAnsi="Times New Roman" w:eastAsia="仿宋" w:cs="Times New Roman"/>
          <w:b/>
          <w:color w:val="000000"/>
          <w:kern w:val="2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2"/>
          <w:sz w:val="28"/>
          <w:szCs w:val="28"/>
        </w:rPr>
        <w:t>成立学院研究生国家奖学金评审委员会，负责本院研究生国家奖学金评定工作。</w:t>
      </w:r>
    </w:p>
    <w:p w14:paraId="4D9B5CEF">
      <w:pPr>
        <w:pStyle w:val="13"/>
        <w:ind w:firstLine="0" w:firstLineChars="0"/>
        <w:rPr>
          <w:rFonts w:hint="default" w:ascii="Times New Roman" w:hAnsi="Times New Roman" w:eastAsia="仿宋" w:cs="Times New Roman"/>
          <w:b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000000"/>
          <w:sz w:val="28"/>
          <w:szCs w:val="28"/>
        </w:rPr>
        <w:t>二、奖金额度</w:t>
      </w:r>
    </w:p>
    <w:p w14:paraId="5C492379">
      <w:pPr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获奖博士研究生每生每年3万元，获奖硕士研究生每生每年2万元，奖金一次性发放。</w:t>
      </w:r>
    </w:p>
    <w:p w14:paraId="7CE2D350">
      <w:pPr>
        <w:widowControl/>
        <w:jc w:val="left"/>
        <w:rPr>
          <w:rFonts w:hint="default" w:ascii="Times New Roman" w:hAnsi="Times New Roman" w:eastAsia="仿宋" w:cs="Times New Roman"/>
          <w:b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000000"/>
          <w:sz w:val="28"/>
          <w:szCs w:val="28"/>
        </w:rPr>
        <w:t>三、参评对象</w:t>
      </w:r>
    </w:p>
    <w:p w14:paraId="24D195A8">
      <w:pPr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已进行学籍注册且在规定学制内的全日制2026级在读硕士研究生均有资格申请。</w:t>
      </w:r>
    </w:p>
    <w:p w14:paraId="17670F99">
      <w:pPr>
        <w:widowControl/>
        <w:jc w:val="left"/>
        <w:rPr>
          <w:rFonts w:hint="default" w:ascii="Times New Roman" w:hAnsi="Times New Roman" w:eastAsia="仿宋" w:cs="Times New Roman"/>
          <w:b/>
          <w:color w:val="000000"/>
          <w:sz w:val="28"/>
          <w:szCs w:val="28"/>
        </w:rPr>
      </w:pPr>
      <w:r>
        <w:rPr>
          <w:rFonts w:hint="eastAsia" w:eastAsia="仿宋" w:cs="Times New Roman"/>
          <w:b/>
          <w:color w:val="000000"/>
          <w:sz w:val="28"/>
          <w:szCs w:val="28"/>
          <w:lang w:val="en-US" w:eastAsia="zh-CN"/>
        </w:rPr>
        <w:t>四</w:t>
      </w:r>
      <w:r>
        <w:rPr>
          <w:rFonts w:hint="default" w:ascii="Times New Roman" w:hAnsi="Times New Roman" w:eastAsia="仿宋" w:cs="Times New Roman"/>
          <w:b/>
          <w:color w:val="000000"/>
          <w:sz w:val="28"/>
          <w:szCs w:val="28"/>
        </w:rPr>
        <w:t>、申报条件</w:t>
      </w:r>
    </w:p>
    <w:p w14:paraId="67CE1195">
      <w:pPr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eastAsia="zh-CN"/>
        </w:rPr>
        <w:t>1.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热爱社会主义祖国，拥护中国共产党领导；遵守宪法和法律，遵守高等学校规章制度；诚实守信，道德品质优良；</w:t>
      </w:r>
    </w:p>
    <w:p w14:paraId="67857963">
      <w:pPr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eastAsia="zh-CN"/>
        </w:rPr>
        <w:t>2.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学习成绩优异，科研能力显著，发展潜力突出；</w:t>
      </w:r>
    </w:p>
    <w:p w14:paraId="068EB943">
      <w:pPr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eastAsia="zh-CN"/>
        </w:rPr>
        <w:t>3.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政治思想表现良好，积极参加集体活动；</w:t>
      </w:r>
    </w:p>
    <w:p w14:paraId="2C660134">
      <w:pPr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eastAsia="zh-CN"/>
        </w:rPr>
        <w:t>4.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有以下情节之一者不得参评：因违纪受到处分者；有违反学术道德行为者。</w:t>
      </w:r>
    </w:p>
    <w:p w14:paraId="6048F4C4">
      <w:pPr>
        <w:widowControl/>
        <w:jc w:val="left"/>
        <w:rPr>
          <w:rFonts w:hint="default" w:eastAsia="仿宋" w:cs="Times New Roman"/>
          <w:b/>
          <w:color w:val="000000"/>
          <w:sz w:val="28"/>
          <w:szCs w:val="28"/>
          <w:lang w:val="en-US" w:eastAsia="zh-CN"/>
        </w:rPr>
      </w:pPr>
      <w:r>
        <w:rPr>
          <w:rFonts w:hint="eastAsia" w:eastAsia="仿宋" w:cs="Times New Roman"/>
          <w:b/>
          <w:color w:val="000000"/>
          <w:sz w:val="28"/>
          <w:szCs w:val="28"/>
          <w:lang w:val="en-US" w:eastAsia="zh-CN"/>
        </w:rPr>
        <w:t>五</w:t>
      </w:r>
      <w:r>
        <w:rPr>
          <w:rFonts w:hint="default" w:ascii="Times New Roman" w:hAnsi="Times New Roman" w:eastAsia="仿宋" w:cs="Times New Roman"/>
          <w:b/>
          <w:color w:val="000000"/>
          <w:sz w:val="28"/>
          <w:szCs w:val="28"/>
        </w:rPr>
        <w:t>、</w:t>
      </w:r>
      <w:r>
        <w:rPr>
          <w:rFonts w:hint="default" w:eastAsia="仿宋" w:cs="Times New Roman"/>
          <w:b/>
          <w:color w:val="000000"/>
          <w:sz w:val="28"/>
          <w:szCs w:val="28"/>
          <w:lang w:val="en-US" w:eastAsia="zh-CN"/>
        </w:rPr>
        <w:t>评定细则</w:t>
      </w:r>
    </w:p>
    <w:p w14:paraId="69E2EAFA">
      <w:pPr>
        <w:ind w:left="72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研究生国家奖学金评定主要参考以下四大方面：</w:t>
      </w:r>
    </w:p>
    <w:p w14:paraId="415D689D">
      <w:pPr>
        <w:pStyle w:val="13"/>
        <w:spacing w:line="520" w:lineRule="exact"/>
        <w:ind w:firstLine="0" w:firstLineChars="0"/>
        <w:rPr>
          <w:rFonts w:hint="default" w:ascii="Times New Roman" w:hAnsi="Times New Roman" w:eastAsia="仿宋" w:cs="Times New Roman"/>
          <w:b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000000"/>
          <w:kern w:val="0"/>
          <w:sz w:val="28"/>
          <w:szCs w:val="28"/>
        </w:rPr>
        <w:t>（一）研究生入学考试成绩（权重30%）</w:t>
      </w:r>
    </w:p>
    <w:p w14:paraId="3783292D">
      <w:pPr>
        <w:ind w:firstLine="560" w:firstLineChars="200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新入学在读研究生成绩按照考研初试成绩折算统计，计算公式为：</w:t>
      </w:r>
    </w:p>
    <w:p w14:paraId="3DCF6A88">
      <w:pPr>
        <w:ind w:firstLine="1680" w:firstLineChars="600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position w:val="-26"/>
          <w:sz w:val="28"/>
          <w:szCs w:val="28"/>
        </w:rPr>
        <w:object>
          <v:shape id="_x0000_i1025" o:spt="75" type="#_x0000_t75" style="height:33pt;width:228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4">
            <o:LockedField>false</o:LockedField>
          </o:OLEObject>
        </w:object>
      </w:r>
    </w:p>
    <w:tbl>
      <w:tblPr>
        <w:tblStyle w:val="7"/>
        <w:tblW w:w="414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0"/>
        <w:gridCol w:w="1080"/>
      </w:tblGrid>
      <w:tr w14:paraId="5E5E2B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36AC4F"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  <w:t>折算成绩年级排名</w:t>
            </w: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7D48CA"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  <w:t>分值</w:t>
            </w:r>
          </w:p>
        </w:tc>
      </w:tr>
      <w:tr w14:paraId="5D8E5B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0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A65801"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  <w:lang w:eastAsia="zh-CN"/>
              </w:rPr>
              <w:t>前10%（含）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8B06BD"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  <w:t>50</w:t>
            </w:r>
          </w:p>
        </w:tc>
      </w:tr>
      <w:tr w14:paraId="23091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0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58107E"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  <w:lang w:eastAsia="zh-CN"/>
              </w:rPr>
              <w:t>10%–20%（含）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7D7BF5"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  <w:t>40</w:t>
            </w:r>
          </w:p>
        </w:tc>
      </w:tr>
      <w:tr w14:paraId="404219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0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20A100"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  <w:lang w:eastAsia="zh-CN"/>
              </w:rPr>
              <w:t>20%–30%（含）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CD3A4B"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  <w:t>30</w:t>
            </w:r>
          </w:p>
        </w:tc>
      </w:tr>
      <w:tr w14:paraId="6AE82D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0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C7DE57"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  <w:t>30%以后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A9888D"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8"/>
                <w:szCs w:val="28"/>
              </w:rPr>
              <w:t>20</w:t>
            </w:r>
          </w:p>
        </w:tc>
      </w:tr>
    </w:tbl>
    <w:p w14:paraId="682BAAB1">
      <w:pPr>
        <w:pStyle w:val="13"/>
        <w:spacing w:line="520" w:lineRule="exact"/>
        <w:ind w:firstLine="0" w:firstLineChars="0"/>
        <w:rPr>
          <w:rFonts w:hint="default" w:ascii="Times New Roman" w:hAnsi="Times New Roman" w:eastAsia="仿宋" w:cs="Times New Roman"/>
          <w:b/>
          <w:color w:val="000000"/>
          <w:spacing w:val="-6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000000"/>
          <w:spacing w:val="-6"/>
          <w:kern w:val="0"/>
          <w:sz w:val="28"/>
          <w:szCs w:val="28"/>
        </w:rPr>
        <w:t>（二）各类研究成果（论文、专利等）、科技竞赛获奖等（权重50%）</w:t>
      </w:r>
    </w:p>
    <w:p w14:paraId="6E403877">
      <w:pPr>
        <w:pStyle w:val="13"/>
        <w:spacing w:line="520" w:lineRule="exact"/>
        <w:ind w:firstLine="536"/>
        <w:rPr>
          <w:rFonts w:hint="default" w:ascii="Times New Roman" w:hAnsi="Times New Roman" w:eastAsia="仿宋" w:cs="Times New Roman"/>
          <w:bCs/>
          <w:color w:val="000000"/>
          <w:spacing w:val="-6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Cs/>
          <w:color w:val="000000"/>
          <w:spacing w:val="-6"/>
          <w:kern w:val="0"/>
          <w:sz w:val="28"/>
          <w:szCs w:val="28"/>
        </w:rPr>
        <w:t>新入学研究生获得的各类成果、获奖等须为2025年9月1日之后。</w:t>
      </w:r>
    </w:p>
    <w:p w14:paraId="30C32A36">
      <w:pPr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  <w:lang w:eastAsia="zh-CN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val="en-US" w:eastAsia="zh-CN"/>
        </w:rPr>
        <w:t>1</w:t>
      </w:r>
      <w:r>
        <w:rPr>
          <w:rFonts w:hint="eastAsia" w:eastAsia="仿宋" w:cs="Times New Roman"/>
          <w:color w:val="000000"/>
          <w:sz w:val="28"/>
          <w:szCs w:val="28"/>
          <w:lang w:val="en-US" w:eastAsia="zh-CN"/>
        </w:rPr>
        <w:t>.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eastAsia="zh-CN"/>
        </w:rPr>
        <w:t>学术论文、专利参考分值计算表</w:t>
      </w:r>
    </w:p>
    <w:tbl>
      <w:tblPr>
        <w:tblStyle w:val="7"/>
        <w:tblW w:w="8673" w:type="dxa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10"/>
        <w:gridCol w:w="4706"/>
        <w:gridCol w:w="2557"/>
      </w:tblGrid>
      <w:tr w14:paraId="274FE27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410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4A37328F">
            <w:pPr>
              <w:widowControl/>
              <w:spacing w:before="80" w:line="440" w:lineRule="exact"/>
              <w:jc w:val="center"/>
              <w:rPr>
                <w:rFonts w:hint="default"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  <w:t>成果类别</w:t>
            </w:r>
          </w:p>
        </w:tc>
        <w:tc>
          <w:tcPr>
            <w:tcW w:w="4706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429B62BA">
            <w:pPr>
              <w:widowControl/>
              <w:spacing w:before="80" w:line="440" w:lineRule="exact"/>
              <w:jc w:val="center"/>
              <w:rPr>
                <w:rFonts w:hint="default"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  <w:t>成果明细</w:t>
            </w:r>
          </w:p>
        </w:tc>
        <w:tc>
          <w:tcPr>
            <w:tcW w:w="2557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5E275E0C">
            <w:pPr>
              <w:widowControl/>
              <w:spacing w:before="80" w:line="440" w:lineRule="exact"/>
              <w:jc w:val="center"/>
              <w:rPr>
                <w:rFonts w:hint="default"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  <w:t>得分（分/篇、项）</w:t>
            </w:r>
          </w:p>
        </w:tc>
      </w:tr>
      <w:tr w14:paraId="6C1C65E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tblCellSpacing w:w="0" w:type="dxa"/>
          <w:jc w:val="center"/>
        </w:trPr>
        <w:tc>
          <w:tcPr>
            <w:tcW w:w="1410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3EAF4BCA">
            <w:pPr>
              <w:widowControl/>
              <w:spacing w:line="44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fldChar w:fldCharType="begin"/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instrText xml:space="preserve"> = 1 \* ROMAN </w:instrText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fldChar w:fldCharType="separate"/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t>I</w:t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fldChar w:fldCharType="end"/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t>类</w:t>
            </w:r>
          </w:p>
        </w:tc>
        <w:tc>
          <w:tcPr>
            <w:tcW w:w="4706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65FB6171">
            <w:pPr>
              <w:widowControl/>
              <w:spacing w:line="44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  <w:t>中科院一区期刊论文</w:t>
            </w:r>
          </w:p>
        </w:tc>
        <w:tc>
          <w:tcPr>
            <w:tcW w:w="2557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77D61CD1">
            <w:pPr>
              <w:widowControl/>
              <w:spacing w:line="44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  <w:t>30</w:t>
            </w:r>
          </w:p>
        </w:tc>
      </w:tr>
      <w:tr w14:paraId="584D3C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tblCellSpacing w:w="0" w:type="dxa"/>
          <w:jc w:val="center"/>
        </w:trPr>
        <w:tc>
          <w:tcPr>
            <w:tcW w:w="1410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187F136F">
            <w:pPr>
              <w:widowControl/>
              <w:spacing w:before="200" w:line="44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fldChar w:fldCharType="begin"/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instrText xml:space="preserve"> = 2 \* ROMAN </w:instrText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fldChar w:fldCharType="separate"/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  <w:lang w:eastAsia="zh-CN"/>
              </w:rPr>
              <w:t>Ⅱ</w:t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fldChar w:fldCharType="end"/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t>类</w:t>
            </w:r>
          </w:p>
        </w:tc>
        <w:tc>
          <w:tcPr>
            <w:tcW w:w="4706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5E19572C">
            <w:pPr>
              <w:widowControl/>
              <w:spacing w:line="44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  <w:t>中科院二区期刊论文</w:t>
            </w:r>
            <w:r>
              <w:rPr>
                <w:rFonts w:hint="default" w:ascii="Times New Roman" w:hAnsi="Times New Roman" w:eastAsia="仿宋" w:cs="Times New Roman"/>
                <w:color w:val="000000"/>
                <w:sz w:val="24"/>
                <w:szCs w:val="28"/>
              </w:rPr>
              <w:t>、已授权的发明专利</w:t>
            </w:r>
          </w:p>
        </w:tc>
        <w:tc>
          <w:tcPr>
            <w:tcW w:w="2557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0D3228A0">
            <w:pPr>
              <w:widowControl/>
              <w:spacing w:before="120" w:line="44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  <w:t>20</w:t>
            </w:r>
          </w:p>
        </w:tc>
      </w:tr>
      <w:tr w14:paraId="0CB9BEC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tblCellSpacing w:w="0" w:type="dxa"/>
          <w:jc w:val="center"/>
        </w:trPr>
        <w:tc>
          <w:tcPr>
            <w:tcW w:w="1410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2610DAFB">
            <w:pPr>
              <w:widowControl/>
              <w:spacing w:before="300" w:line="44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fldChar w:fldCharType="begin"/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instrText xml:space="preserve"> = 3 \* ROMAN </w:instrText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fldChar w:fldCharType="separate"/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t>III</w:t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fldChar w:fldCharType="end"/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t>类</w:t>
            </w:r>
          </w:p>
        </w:tc>
        <w:tc>
          <w:tcPr>
            <w:tcW w:w="4706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6FAD8EF2">
            <w:pPr>
              <w:widowControl/>
              <w:spacing w:line="44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  <w:t>中科院三、四区期刊论文、</w:t>
            </w:r>
            <w:r>
              <w:rPr>
                <w:rFonts w:hint="default" w:ascii="Times New Roman" w:hAnsi="Times New Roman" w:eastAsia="仿宋" w:cs="Times New Roman"/>
                <w:color w:val="000000"/>
                <w:sz w:val="24"/>
                <w:szCs w:val="28"/>
              </w:rPr>
              <w:t>EI检索的中文期刊论文</w:t>
            </w:r>
          </w:p>
        </w:tc>
        <w:tc>
          <w:tcPr>
            <w:tcW w:w="2557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7051C9DB">
            <w:pPr>
              <w:widowControl/>
              <w:spacing w:before="300" w:line="44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t>10</w:t>
            </w:r>
          </w:p>
        </w:tc>
      </w:tr>
      <w:tr w14:paraId="0594330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  <w:tblCellSpacing w:w="0" w:type="dxa"/>
          <w:jc w:val="center"/>
        </w:trPr>
        <w:tc>
          <w:tcPr>
            <w:tcW w:w="1410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4CD8F1F8">
            <w:pPr>
              <w:widowControl/>
              <w:spacing w:line="44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fldChar w:fldCharType="begin"/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instrText xml:space="preserve"> = 4 \* ROMAN </w:instrText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fldChar w:fldCharType="separate"/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  <w:lang w:eastAsia="zh-CN"/>
              </w:rPr>
              <w:t>Ⅳ</w:t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fldChar w:fldCharType="end"/>
            </w:r>
            <w:r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  <w:t>类</w:t>
            </w:r>
          </w:p>
        </w:tc>
        <w:tc>
          <w:tcPr>
            <w:tcW w:w="4706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  <w:vAlign w:val="center"/>
          </w:tcPr>
          <w:p w14:paraId="39C7A5D7">
            <w:pPr>
              <w:widowControl/>
              <w:spacing w:line="44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  <w:t>其他A类期刊论文</w:t>
            </w:r>
          </w:p>
        </w:tc>
        <w:tc>
          <w:tcPr>
            <w:tcW w:w="2557" w:type="dxa"/>
            <w:tcBorders>
              <w:top w:val="outset" w:color="F4F4F4" w:sz="6" w:space="0"/>
              <w:left w:val="outset" w:color="F4F4F4" w:sz="6" w:space="0"/>
              <w:bottom w:val="outset" w:color="F4F4F4" w:sz="6" w:space="0"/>
              <w:right w:val="outset" w:color="F4F4F4" w:sz="6" w:space="0"/>
            </w:tcBorders>
          </w:tcPr>
          <w:p w14:paraId="3B31EE6A">
            <w:pPr>
              <w:widowControl/>
              <w:spacing w:line="440" w:lineRule="exact"/>
              <w:jc w:val="center"/>
              <w:rPr>
                <w:rFonts w:hint="default" w:ascii="Times New Roman" w:hAnsi="Times New Roman" w:eastAsia="仿宋" w:cs="Times New Roman"/>
                <w:color w:val="000000"/>
                <w:spacing w:val="-6"/>
                <w:kern w:val="0"/>
                <w:sz w:val="24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8"/>
              </w:rPr>
              <w:t>5</w:t>
            </w:r>
          </w:p>
        </w:tc>
      </w:tr>
    </w:tbl>
    <w:p w14:paraId="217630D8">
      <w:pPr>
        <w:snapToGrid w:val="0"/>
        <w:spacing w:line="360" w:lineRule="auto"/>
        <w:ind w:left="1400" w:leftChars="200" w:hanging="980" w:hangingChars="35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注：</w:t>
      </w:r>
    </w:p>
    <w:p w14:paraId="4E3C82C5">
      <w:pPr>
        <w:snapToGrid w:val="0"/>
        <w:spacing w:line="360" w:lineRule="auto"/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（1）需为公开发表的学术论文，录用通知等同发表。</w:t>
      </w:r>
    </w:p>
    <w:p w14:paraId="0271912B">
      <w:pPr>
        <w:snapToGrid w:val="0"/>
        <w:spacing w:line="360" w:lineRule="auto"/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（2）学生为第1作者按100%计入，第2作者按60%计入，其他作者排序按30%计入。</w:t>
      </w:r>
    </w:p>
    <w:p w14:paraId="59DACAAD">
      <w:pPr>
        <w:snapToGrid w:val="0"/>
        <w:spacing w:line="360" w:lineRule="auto"/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（3）发明专利应为已授权的专利，学生为第1申请人按100%计入，第2申请人按80%计入，其他申请人排序按50%计入。</w:t>
      </w:r>
    </w:p>
    <w:p w14:paraId="399E478F">
      <w:pPr>
        <w:snapToGrid w:val="0"/>
        <w:spacing w:line="360" w:lineRule="auto"/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（4）论文分类按照学校颁布的《上海理工大学校定国内外期刊源及论文的分类》文件执行。</w:t>
      </w:r>
    </w:p>
    <w:p w14:paraId="082C1B55">
      <w:pPr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val="en-US" w:eastAsia="zh-CN"/>
        </w:rPr>
        <w:t>2</w:t>
      </w:r>
      <w:r>
        <w:rPr>
          <w:rFonts w:hint="eastAsia" w:eastAsia="仿宋" w:cs="Times New Roman"/>
          <w:color w:val="000000"/>
          <w:sz w:val="28"/>
          <w:szCs w:val="28"/>
          <w:lang w:val="en-US" w:eastAsia="zh-CN"/>
        </w:rPr>
        <w:t>.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val="en-US" w:eastAsia="zh-CN"/>
        </w:rPr>
        <w:t>科技竞赛获奖分值</w:t>
      </w:r>
    </w:p>
    <w:p w14:paraId="1F215250">
      <w:pPr>
        <w:snapToGrid w:val="0"/>
        <w:spacing w:line="360" w:lineRule="auto"/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国家级获奖：</w:t>
      </w:r>
    </w:p>
    <w:p w14:paraId="5C5F9702">
      <w:pPr>
        <w:ind w:left="720"/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  <w:t>一等奖：30分</w:t>
      </w:r>
    </w:p>
    <w:p w14:paraId="5A3120A9">
      <w:pPr>
        <w:ind w:left="720"/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  <w:t>二等奖：20分</w:t>
      </w:r>
    </w:p>
    <w:p w14:paraId="29BED3AE">
      <w:pPr>
        <w:ind w:left="720"/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  <w:t>三等奖：10分</w:t>
      </w:r>
    </w:p>
    <w:p w14:paraId="18CB7D59">
      <w:pPr>
        <w:ind w:left="720"/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  <w:t>省部级获奖：</w:t>
      </w:r>
    </w:p>
    <w:p w14:paraId="51948F94">
      <w:pPr>
        <w:ind w:left="720"/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  <w:t>一等奖：8分</w:t>
      </w:r>
    </w:p>
    <w:p w14:paraId="4B550F36">
      <w:pPr>
        <w:ind w:left="720"/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  <w:t>二等奖：5分</w:t>
      </w:r>
    </w:p>
    <w:p w14:paraId="19355A6B">
      <w:pPr>
        <w:ind w:left="720"/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  <w:t>三等奖：3分</w:t>
      </w:r>
    </w:p>
    <w:p w14:paraId="2EDA7F82">
      <w:pPr>
        <w:ind w:firstLine="536" w:firstLineChars="200"/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pacing w:val="-6"/>
          <w:kern w:val="0"/>
          <w:sz w:val="28"/>
          <w:szCs w:val="28"/>
        </w:rPr>
        <w:t>注：</w:t>
      </w:r>
    </w:p>
    <w:p w14:paraId="0F5A6064">
      <w:pPr>
        <w:ind w:firstLine="560" w:firstLineChars="200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（1）只统计前3名获奖者，第1、第2、第3名分别按100%、50%、30%计入。</w:t>
      </w:r>
    </w:p>
    <w:p w14:paraId="19309EB8">
      <w:pPr>
        <w:ind w:firstLine="560" w:firstLineChars="200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（2）排名不分先后的奖项，原则上分数均分。</w:t>
      </w:r>
    </w:p>
    <w:p w14:paraId="7945A9C5">
      <w:pPr>
        <w:ind w:firstLine="560" w:firstLineChars="200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（3）依托同一成果的科技竞赛获奖只统计最高级别的1项。</w:t>
      </w:r>
    </w:p>
    <w:p w14:paraId="008EDBDD">
      <w:pPr>
        <w:ind w:firstLine="560" w:firstLineChars="200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（4）科技竞赛只统计《上海理工大学校定A类竞赛》名单内的奖项。</w:t>
      </w:r>
    </w:p>
    <w:p w14:paraId="039552FA">
      <w:pPr>
        <w:ind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val="en-US" w:eastAsia="zh-CN"/>
        </w:rPr>
        <w:t>3.科研得分计算方法：</w:t>
      </w:r>
    </w:p>
    <w:p w14:paraId="129D0250">
      <w:pPr>
        <w:ind w:firstLine="480" w:firstLineChars="200"/>
        <w:rPr>
          <w:rFonts w:hint="default" w:ascii="Times New Roman" w:hAnsi="Times New Roman" w:cs="Times New Roman"/>
          <w:color w:val="000000"/>
          <w:kern w:val="0"/>
          <w:sz w:val="24"/>
          <w:szCs w:val="24"/>
        </w:rPr>
      </w:pPr>
      <m:oMathPara>
        <m:oMath>
          <m:r>
            <m:rPr>
              <m:nor/>
              <m:sty m:val="p"/>
            </m:rPr>
            <w:rPr>
              <w:rFonts w:hint="default" w:ascii="Times New Roman" w:hAnsi="Times New Roman" w:cs="Times New Roman"/>
              <w:b w:val="0"/>
              <w:i w:val="0"/>
              <w:color w:val="000000"/>
              <w:kern w:val="0"/>
              <w:sz w:val="24"/>
              <w:szCs w:val="24"/>
            </w:rPr>
            <m:t>科研得分=</m:t>
          </m:r>
          <m:f>
            <m:fPr>
              <m:ctrlPr>
                <w:rPr>
                  <w:rFonts w:hint="default" w:ascii="Cambria Math" w:hAnsi="Cambria Math" w:cs="Times New Roman"/>
                  <w:i/>
                  <w:color w:val="000000"/>
                  <w:kern w:val="0"/>
                  <w:sz w:val="24"/>
                  <w:szCs w:val="24"/>
                </w:rPr>
              </m:ctrlPr>
            </m:fPr>
            <m:num>
              <m:r>
                <m:rPr>
                  <m:nor/>
                  <m:sty m:val="p"/>
                </m:rPr>
                <w:rPr>
                  <w:rFonts w:hint="default" w:ascii="Times New Roman" w:hAnsi="Times New Roman" w:cs="Times New Roman"/>
                  <w:b w:val="0"/>
                  <w:i w:val="0"/>
                  <w:color w:val="000000"/>
                  <w:kern w:val="0"/>
                  <w:sz w:val="24"/>
                  <w:szCs w:val="24"/>
                </w:rPr>
                <m:t>个人科研总分</m:t>
              </m:r>
              <m:ctrlPr>
                <w:rPr>
                  <w:rFonts w:hint="default" w:ascii="Cambria Math" w:hAnsi="Cambria Math" w:cs="Times New Roman"/>
                  <w:i/>
                  <w:color w:val="000000"/>
                  <w:kern w:val="0"/>
                  <w:sz w:val="24"/>
                  <w:szCs w:val="24"/>
                </w:rPr>
              </m:ctrlPr>
            </m:num>
            <m:den>
              <m:r>
                <m:rPr>
                  <m:nor/>
                  <m:sty m:val="p"/>
                </m:rPr>
                <w:rPr>
                  <w:rFonts w:hint="default" w:ascii="Times New Roman" w:hAnsi="Times New Roman" w:cs="Times New Roman"/>
                  <w:b w:val="0"/>
                  <w:i w:val="0"/>
                  <w:color w:val="000000"/>
                  <w:kern w:val="0"/>
                  <w:sz w:val="24"/>
                  <w:szCs w:val="24"/>
                </w:rPr>
                <m:t>个人科研总分中的最高分</m:t>
              </m:r>
              <m:ctrlPr>
                <w:rPr>
                  <w:rFonts w:hint="default" w:ascii="Cambria Math" w:hAnsi="Cambria Math" w:cs="Times New Roman"/>
                  <w:i/>
                  <w:color w:val="000000"/>
                  <w:kern w:val="0"/>
                  <w:sz w:val="24"/>
                  <w:szCs w:val="24"/>
                </w:rPr>
              </m:ctrlPr>
            </m:den>
          </m:f>
          <m:r>
            <m:rPr>
              <m:nor/>
              <m:sty m:val="p"/>
            </m:rPr>
            <w:rPr>
              <w:rFonts w:hint="default" w:ascii="Times New Roman" w:hAnsi="Times New Roman" w:cs="Times New Roman"/>
              <w:b w:val="0"/>
              <w:i w:val="0"/>
              <w:color w:val="000000"/>
              <w:kern w:val="0"/>
              <w:sz w:val="24"/>
              <w:szCs w:val="24"/>
            </w:rPr>
            <m:t>×50</m:t>
          </m:r>
        </m:oMath>
      </m:oMathPara>
    </w:p>
    <w:p w14:paraId="2C6E6C98">
      <w:pPr>
        <w:pStyle w:val="13"/>
        <w:spacing w:line="520" w:lineRule="exact"/>
        <w:ind w:firstLine="0" w:firstLineChars="0"/>
        <w:rPr>
          <w:rFonts w:hint="default" w:ascii="Times New Roman" w:hAnsi="Times New Roman" w:eastAsia="仿宋" w:cs="Times New Roman"/>
          <w:b/>
          <w:color w:val="000000"/>
          <w:spacing w:val="-6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000000"/>
          <w:spacing w:val="-6"/>
          <w:kern w:val="0"/>
          <w:sz w:val="28"/>
          <w:szCs w:val="28"/>
        </w:rPr>
        <w:t>（三）</w:t>
      </w:r>
      <w:bookmarkStart w:id="0" w:name="OLE_LINK6"/>
      <w:r>
        <w:rPr>
          <w:rFonts w:hint="default" w:ascii="Times New Roman" w:hAnsi="Times New Roman" w:eastAsia="仿宋" w:cs="Times New Roman"/>
          <w:b/>
          <w:color w:val="000000"/>
          <w:spacing w:val="-6"/>
          <w:kern w:val="0"/>
          <w:sz w:val="28"/>
          <w:szCs w:val="28"/>
        </w:rPr>
        <w:t>综合表现</w:t>
      </w:r>
      <w:bookmarkEnd w:id="0"/>
      <w:r>
        <w:rPr>
          <w:rFonts w:hint="default" w:ascii="Times New Roman" w:hAnsi="Times New Roman" w:eastAsia="仿宋" w:cs="Times New Roman"/>
          <w:b/>
          <w:color w:val="000000"/>
          <w:spacing w:val="-6"/>
          <w:kern w:val="0"/>
          <w:sz w:val="28"/>
          <w:szCs w:val="28"/>
        </w:rPr>
        <w:t>（</w:t>
      </w:r>
      <w:r>
        <w:rPr>
          <w:rFonts w:hint="default" w:ascii="Times New Roman" w:hAnsi="Times New Roman" w:eastAsia="仿宋" w:cs="Times New Roman"/>
          <w:b/>
          <w:color w:val="000000"/>
          <w:kern w:val="0"/>
          <w:sz w:val="28"/>
          <w:szCs w:val="28"/>
        </w:rPr>
        <w:t>权重</w:t>
      </w:r>
      <w:r>
        <w:rPr>
          <w:rFonts w:hint="default" w:ascii="Times New Roman" w:hAnsi="Times New Roman" w:eastAsia="仿宋" w:cs="Times New Roman"/>
          <w:b/>
          <w:color w:val="000000"/>
          <w:spacing w:val="-6"/>
          <w:kern w:val="0"/>
          <w:sz w:val="28"/>
          <w:szCs w:val="28"/>
        </w:rPr>
        <w:t>10%）</w:t>
      </w:r>
    </w:p>
    <w:p w14:paraId="2348E043">
      <w:pPr>
        <w:ind w:left="105" w:leftChars="50"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在本科学习阶段，获得各类荣誉称号，包括“优秀学生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eastAsia="zh-CN"/>
        </w:rPr>
        <w:t>”“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优秀学生干部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eastAsia="zh-CN"/>
        </w:rPr>
        <w:t>”“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优秀团员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eastAsia="zh-CN"/>
        </w:rPr>
        <w:t>”“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优秀团干部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eastAsia="zh-CN"/>
        </w:rPr>
        <w:t>”“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优秀共产党员”。国家级40分/项、市级20分/项、校级10分/项。</w:t>
      </w:r>
    </w:p>
    <w:p w14:paraId="3DD03C9D">
      <w:pPr>
        <w:ind w:left="105" w:leftChars="50"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综合表现计分方法：</w:t>
      </w:r>
    </w:p>
    <w:p w14:paraId="78B21771">
      <w:pPr>
        <w:ind w:left="105" w:leftChars="50" w:firstLine="480" w:firstLineChars="200"/>
        <w:rPr>
          <w:rFonts w:hint="default" w:ascii="Times New Roman" w:hAnsi="Times New Roman" w:cs="Times New Roman"/>
          <w:color w:val="000000"/>
          <w:sz w:val="24"/>
          <w:szCs w:val="24"/>
        </w:rPr>
      </w:pPr>
      <m:oMathPara>
        <m:oMath>
          <m:r>
            <m:rPr>
              <m:nor/>
              <m:sty m:val="p"/>
            </m:rPr>
            <w:rPr>
              <w:rFonts w:hint="default" w:ascii="Times New Roman" w:hAnsi="Times New Roman" w:cs="Times New Roman"/>
              <w:b w:val="0"/>
              <w:i w:val="0"/>
              <w:color w:val="000000"/>
              <w:sz w:val="24"/>
              <w:szCs w:val="24"/>
            </w:rPr>
            <m:t>综合表现得分=</m:t>
          </m:r>
          <m:f>
            <m:fPr>
              <m:ctrlPr>
                <w:rPr>
                  <w:rFonts w:hint="default" w:ascii="Cambria Math" w:hAnsi="Cambria Math" w:cs="Times New Roman"/>
                  <w:i/>
                  <w:color w:val="000000"/>
                  <w:sz w:val="24"/>
                  <w:szCs w:val="24"/>
                </w:rPr>
              </m:ctrlPr>
            </m:fPr>
            <m:num>
              <m:r>
                <m:rPr>
                  <m:nor/>
                  <m:sty m:val="p"/>
                </m:rPr>
                <w:rPr>
                  <w:rFonts w:hint="default" w:ascii="Times New Roman" w:hAnsi="Times New Roman" w:cs="Times New Roman"/>
                  <w:b w:val="0"/>
                  <w:i w:val="0"/>
                  <w:color w:val="000000"/>
                  <w:sz w:val="24"/>
                  <w:szCs w:val="24"/>
                </w:rPr>
                <m:t>个人综合表现总分</m:t>
              </m:r>
              <m:ctrlPr>
                <w:rPr>
                  <w:rFonts w:hint="default" w:ascii="Cambria Math" w:hAnsi="Cambria Math" w:cs="Times New Roman"/>
                  <w:i/>
                  <w:color w:val="000000"/>
                  <w:sz w:val="24"/>
                  <w:szCs w:val="24"/>
                </w:rPr>
              </m:ctrlPr>
            </m:num>
            <m:den>
              <m:r>
                <m:rPr>
                  <m:nor/>
                  <m:sty m:val="p"/>
                </m:rPr>
                <w:rPr>
                  <w:rFonts w:hint="default" w:ascii="Times New Roman" w:hAnsi="Times New Roman" w:cs="Times New Roman"/>
                  <w:b w:val="0"/>
                  <w:i w:val="0"/>
                  <w:color w:val="000000"/>
                  <w:sz w:val="24"/>
                  <w:szCs w:val="24"/>
                </w:rPr>
                <m:t>个人综合表现总分中的最高分</m:t>
              </m:r>
              <m:ctrlPr>
                <w:rPr>
                  <w:rFonts w:hint="default" w:ascii="Cambria Math" w:hAnsi="Cambria Math" w:cs="Times New Roman"/>
                  <w:i/>
                  <w:color w:val="000000"/>
                  <w:sz w:val="24"/>
                  <w:szCs w:val="24"/>
                </w:rPr>
              </m:ctrlPr>
            </m:den>
          </m:f>
          <m:r>
            <m:rPr>
              <m:nor/>
              <m:sty m:val="p"/>
            </m:rPr>
            <w:rPr>
              <w:rFonts w:hint="default" w:ascii="Times New Roman" w:hAnsi="Times New Roman" w:cs="Times New Roman"/>
              <w:b w:val="0"/>
              <w:i w:val="0"/>
              <w:color w:val="000000"/>
              <w:sz w:val="24"/>
              <w:szCs w:val="24"/>
            </w:rPr>
            <m:t>×10</m:t>
          </m:r>
        </m:oMath>
      </m:oMathPara>
    </w:p>
    <w:p w14:paraId="633A4408">
      <w:pPr>
        <w:pStyle w:val="13"/>
        <w:spacing w:line="520" w:lineRule="exact"/>
        <w:ind w:firstLine="0" w:firstLineChars="0"/>
        <w:rPr>
          <w:rFonts w:hint="default" w:ascii="Times New Roman" w:hAnsi="Times New Roman" w:eastAsia="仿宋" w:cs="Times New Roman"/>
          <w:b/>
          <w:color w:val="000000"/>
          <w:spacing w:val="-6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000000"/>
          <w:spacing w:val="-6"/>
          <w:kern w:val="0"/>
          <w:sz w:val="28"/>
          <w:szCs w:val="28"/>
        </w:rPr>
        <w:t>（四）答辩（</w:t>
      </w:r>
      <w:r>
        <w:rPr>
          <w:rFonts w:hint="default" w:ascii="Times New Roman" w:hAnsi="Times New Roman" w:eastAsia="仿宋" w:cs="Times New Roman"/>
          <w:b/>
          <w:color w:val="000000"/>
          <w:kern w:val="0"/>
          <w:sz w:val="28"/>
          <w:szCs w:val="28"/>
        </w:rPr>
        <w:t>权重</w:t>
      </w:r>
      <w:r>
        <w:rPr>
          <w:rFonts w:hint="default" w:ascii="Times New Roman" w:hAnsi="Times New Roman" w:eastAsia="仿宋" w:cs="Times New Roman"/>
          <w:b/>
          <w:color w:val="000000"/>
          <w:spacing w:val="-6"/>
          <w:kern w:val="0"/>
          <w:sz w:val="28"/>
          <w:szCs w:val="28"/>
        </w:rPr>
        <w:t>10%）</w:t>
      </w:r>
    </w:p>
    <w:p w14:paraId="4D50DC05">
      <w:pPr>
        <w:ind w:left="105" w:leftChars="50"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答辩环节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  <w:lang w:eastAsia="zh-CN"/>
        </w:rPr>
        <w:t>重点考查学生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科研潜力、思想政治等方面。</w:t>
      </w:r>
    </w:p>
    <w:p w14:paraId="321581FC">
      <w:pPr>
        <w:ind w:left="105" w:leftChars="50" w:firstLine="560" w:firstLineChars="200"/>
        <w:rPr>
          <w:rFonts w:hint="default" w:ascii="Times New Roman" w:hAnsi="Times New Roman" w:eastAsia="仿宋" w:cs="Times New Roman"/>
          <w:color w:val="000000"/>
          <w:sz w:val="28"/>
          <w:szCs w:val="28"/>
          <w:highlight w:val="yellow"/>
        </w:rPr>
      </w:pPr>
    </w:p>
    <w:p w14:paraId="7E287609">
      <w:pPr>
        <w:ind w:left="105" w:leftChars="50" w:firstLine="560" w:firstLineChars="200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根据上述评定办法由</w:t>
      </w:r>
      <w:r>
        <w:rPr>
          <w:rFonts w:hint="default" w:ascii="Times New Roman" w:hAnsi="Times New Roman" w:eastAsia="仿宋" w:cs="Times New Roman"/>
          <w:color w:val="000000"/>
          <w:sz w:val="28"/>
          <w:szCs w:val="28"/>
        </w:rPr>
        <w:t>学院评审委员会</w:t>
      </w: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确定入选名单。名单及相关评审依据将在学院公示（不少于5个工作日）并上报学生资助与管理服务中心。</w:t>
      </w:r>
    </w:p>
    <w:p w14:paraId="71454123">
      <w:pPr>
        <w:ind w:left="105" w:leftChars="50" w:firstLine="560" w:firstLineChars="200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本办法解释权归卓越工程师学院。</w:t>
      </w:r>
    </w:p>
    <w:p w14:paraId="08E0BDF3">
      <w:pPr>
        <w:spacing w:line="520" w:lineRule="exac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</w:p>
    <w:p w14:paraId="30E3CBD9">
      <w:pPr>
        <w:spacing w:line="520" w:lineRule="exact"/>
        <w:jc w:val="righ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</w:p>
    <w:p w14:paraId="2E1022FE">
      <w:pPr>
        <w:spacing w:line="520" w:lineRule="exact"/>
        <w:jc w:val="righ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卓越工程师学院</w:t>
      </w:r>
    </w:p>
    <w:p w14:paraId="3C1B37FA">
      <w:pPr>
        <w:spacing w:line="520" w:lineRule="exact"/>
        <w:ind w:right="140"/>
        <w:jc w:val="righ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2026年9月10日</w:t>
      </w:r>
    </w:p>
    <w:p w14:paraId="7B3F3328">
      <w:pPr>
        <w:spacing w:line="520" w:lineRule="exact"/>
        <w:ind w:right="700"/>
        <w:rPr>
          <w:rFonts w:eastAsia="仿宋"/>
          <w:color w:val="000000"/>
          <w:kern w:val="0"/>
          <w:sz w:val="28"/>
          <w:szCs w:val="28"/>
        </w:rPr>
      </w:pPr>
    </w:p>
    <w:p w14:paraId="429A6E5B">
      <w:pPr>
        <w:rPr>
          <w:rFonts w:eastAsia="仿宋"/>
          <w:color w:val="000000"/>
          <w:kern w:val="0"/>
          <w:sz w:val="28"/>
          <w:szCs w:val="28"/>
        </w:rPr>
      </w:pPr>
    </w:p>
    <w:sectPr>
      <w:pgSz w:w="11906" w:h="16838"/>
      <w:pgMar w:top="1134" w:right="1800" w:bottom="1276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drawingGridVerticalSpacing w:val="156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AEA"/>
    <w:rsid w:val="00001B72"/>
    <w:rsid w:val="00037044"/>
    <w:rsid w:val="00040163"/>
    <w:rsid w:val="000533E3"/>
    <w:rsid w:val="00054596"/>
    <w:rsid w:val="00054F83"/>
    <w:rsid w:val="0005645C"/>
    <w:rsid w:val="000665B0"/>
    <w:rsid w:val="000675C0"/>
    <w:rsid w:val="00097FB4"/>
    <w:rsid w:val="000B1C65"/>
    <w:rsid w:val="000B7607"/>
    <w:rsid w:val="000E10F6"/>
    <w:rsid w:val="000E3BFE"/>
    <w:rsid w:val="000E4D5A"/>
    <w:rsid w:val="000E50B7"/>
    <w:rsid w:val="000F2806"/>
    <w:rsid w:val="000F5B2E"/>
    <w:rsid w:val="001414FF"/>
    <w:rsid w:val="0015602B"/>
    <w:rsid w:val="00180466"/>
    <w:rsid w:val="001834A9"/>
    <w:rsid w:val="001A7070"/>
    <w:rsid w:val="001B07F6"/>
    <w:rsid w:val="001C57ED"/>
    <w:rsid w:val="001F6096"/>
    <w:rsid w:val="001F6918"/>
    <w:rsid w:val="001F7D8F"/>
    <w:rsid w:val="00211CC0"/>
    <w:rsid w:val="00230582"/>
    <w:rsid w:val="0023465F"/>
    <w:rsid w:val="00243A20"/>
    <w:rsid w:val="002530FF"/>
    <w:rsid w:val="002634A6"/>
    <w:rsid w:val="002747BE"/>
    <w:rsid w:val="002774C6"/>
    <w:rsid w:val="00277D23"/>
    <w:rsid w:val="00284854"/>
    <w:rsid w:val="002973C4"/>
    <w:rsid w:val="002A08A1"/>
    <w:rsid w:val="002A3F82"/>
    <w:rsid w:val="002B25D4"/>
    <w:rsid w:val="002C1B2C"/>
    <w:rsid w:val="002D0DCE"/>
    <w:rsid w:val="002F55CE"/>
    <w:rsid w:val="002F61EB"/>
    <w:rsid w:val="002F7446"/>
    <w:rsid w:val="0030035D"/>
    <w:rsid w:val="003364DD"/>
    <w:rsid w:val="00337FA0"/>
    <w:rsid w:val="0034404E"/>
    <w:rsid w:val="00347827"/>
    <w:rsid w:val="00354CC2"/>
    <w:rsid w:val="00363483"/>
    <w:rsid w:val="0036669E"/>
    <w:rsid w:val="003A07CC"/>
    <w:rsid w:val="003C32AC"/>
    <w:rsid w:val="003E323B"/>
    <w:rsid w:val="00411A5F"/>
    <w:rsid w:val="004214F0"/>
    <w:rsid w:val="00437693"/>
    <w:rsid w:val="00440834"/>
    <w:rsid w:val="00443940"/>
    <w:rsid w:val="00464E11"/>
    <w:rsid w:val="00477EBD"/>
    <w:rsid w:val="004A6EB4"/>
    <w:rsid w:val="004B4169"/>
    <w:rsid w:val="00520AE2"/>
    <w:rsid w:val="00526CC0"/>
    <w:rsid w:val="00534716"/>
    <w:rsid w:val="0054234A"/>
    <w:rsid w:val="00544FE4"/>
    <w:rsid w:val="00557610"/>
    <w:rsid w:val="0057067A"/>
    <w:rsid w:val="00575464"/>
    <w:rsid w:val="005822F4"/>
    <w:rsid w:val="005A3232"/>
    <w:rsid w:val="005B1900"/>
    <w:rsid w:val="005C0CFF"/>
    <w:rsid w:val="005C3815"/>
    <w:rsid w:val="005E0A13"/>
    <w:rsid w:val="005E3768"/>
    <w:rsid w:val="005E4BE2"/>
    <w:rsid w:val="005E6B24"/>
    <w:rsid w:val="005F3369"/>
    <w:rsid w:val="00626E77"/>
    <w:rsid w:val="00633DF5"/>
    <w:rsid w:val="0066008D"/>
    <w:rsid w:val="0066541E"/>
    <w:rsid w:val="0067782D"/>
    <w:rsid w:val="00686317"/>
    <w:rsid w:val="00693253"/>
    <w:rsid w:val="006B038A"/>
    <w:rsid w:val="006B0417"/>
    <w:rsid w:val="006B1387"/>
    <w:rsid w:val="006C4FF9"/>
    <w:rsid w:val="006C5388"/>
    <w:rsid w:val="006E1A95"/>
    <w:rsid w:val="00700CA7"/>
    <w:rsid w:val="00711418"/>
    <w:rsid w:val="00712AA7"/>
    <w:rsid w:val="0073239A"/>
    <w:rsid w:val="0073306B"/>
    <w:rsid w:val="00764C83"/>
    <w:rsid w:val="007714F1"/>
    <w:rsid w:val="00780417"/>
    <w:rsid w:val="007823E3"/>
    <w:rsid w:val="007C727E"/>
    <w:rsid w:val="007D10EC"/>
    <w:rsid w:val="007D2AFD"/>
    <w:rsid w:val="007E57E0"/>
    <w:rsid w:val="007E5831"/>
    <w:rsid w:val="007E7ADA"/>
    <w:rsid w:val="00803D1E"/>
    <w:rsid w:val="008177E5"/>
    <w:rsid w:val="00836A77"/>
    <w:rsid w:val="00860030"/>
    <w:rsid w:val="00862AEF"/>
    <w:rsid w:val="00867EE8"/>
    <w:rsid w:val="0087016E"/>
    <w:rsid w:val="008D1496"/>
    <w:rsid w:val="008E1866"/>
    <w:rsid w:val="008E1A23"/>
    <w:rsid w:val="008F4332"/>
    <w:rsid w:val="008F6F21"/>
    <w:rsid w:val="008F7942"/>
    <w:rsid w:val="009141D7"/>
    <w:rsid w:val="00925D46"/>
    <w:rsid w:val="00935A00"/>
    <w:rsid w:val="009634B0"/>
    <w:rsid w:val="009810F4"/>
    <w:rsid w:val="00981978"/>
    <w:rsid w:val="00986F9E"/>
    <w:rsid w:val="00996C4C"/>
    <w:rsid w:val="009A3BCE"/>
    <w:rsid w:val="009B6100"/>
    <w:rsid w:val="009D7BF0"/>
    <w:rsid w:val="00A10370"/>
    <w:rsid w:val="00A35297"/>
    <w:rsid w:val="00A420BF"/>
    <w:rsid w:val="00A56E6C"/>
    <w:rsid w:val="00A61DD3"/>
    <w:rsid w:val="00A71C91"/>
    <w:rsid w:val="00A75892"/>
    <w:rsid w:val="00A81AE9"/>
    <w:rsid w:val="00A8605A"/>
    <w:rsid w:val="00A973DE"/>
    <w:rsid w:val="00AB28E8"/>
    <w:rsid w:val="00AC3847"/>
    <w:rsid w:val="00AD2CE0"/>
    <w:rsid w:val="00AE7DA3"/>
    <w:rsid w:val="00B0729D"/>
    <w:rsid w:val="00B35E67"/>
    <w:rsid w:val="00B44EC3"/>
    <w:rsid w:val="00B50429"/>
    <w:rsid w:val="00B66FB5"/>
    <w:rsid w:val="00B81EE3"/>
    <w:rsid w:val="00B93238"/>
    <w:rsid w:val="00BA1686"/>
    <w:rsid w:val="00BA735F"/>
    <w:rsid w:val="00BC3B88"/>
    <w:rsid w:val="00BE5AEA"/>
    <w:rsid w:val="00BF52BD"/>
    <w:rsid w:val="00BF5975"/>
    <w:rsid w:val="00C0698B"/>
    <w:rsid w:val="00C11825"/>
    <w:rsid w:val="00C55498"/>
    <w:rsid w:val="00C55D55"/>
    <w:rsid w:val="00C60196"/>
    <w:rsid w:val="00C629C5"/>
    <w:rsid w:val="00C67D17"/>
    <w:rsid w:val="00C755F0"/>
    <w:rsid w:val="00C908F6"/>
    <w:rsid w:val="00C9790F"/>
    <w:rsid w:val="00CA3330"/>
    <w:rsid w:val="00CB32D6"/>
    <w:rsid w:val="00CB5325"/>
    <w:rsid w:val="00CC3B97"/>
    <w:rsid w:val="00CC745A"/>
    <w:rsid w:val="00CD2F81"/>
    <w:rsid w:val="00CD5B57"/>
    <w:rsid w:val="00CF47C4"/>
    <w:rsid w:val="00D1576F"/>
    <w:rsid w:val="00D17DB6"/>
    <w:rsid w:val="00D543FF"/>
    <w:rsid w:val="00D60797"/>
    <w:rsid w:val="00D7230D"/>
    <w:rsid w:val="00D728BB"/>
    <w:rsid w:val="00D80D8B"/>
    <w:rsid w:val="00DB156E"/>
    <w:rsid w:val="00DB3F1C"/>
    <w:rsid w:val="00E03724"/>
    <w:rsid w:val="00E42433"/>
    <w:rsid w:val="00E42934"/>
    <w:rsid w:val="00E54300"/>
    <w:rsid w:val="00EA385D"/>
    <w:rsid w:val="00EB13DF"/>
    <w:rsid w:val="00EB30B1"/>
    <w:rsid w:val="00EB4E27"/>
    <w:rsid w:val="00ED63A1"/>
    <w:rsid w:val="00EE095A"/>
    <w:rsid w:val="00EE3308"/>
    <w:rsid w:val="00EE5A3E"/>
    <w:rsid w:val="00EE7EE2"/>
    <w:rsid w:val="00EF0EA1"/>
    <w:rsid w:val="00EF1E12"/>
    <w:rsid w:val="00F02AF7"/>
    <w:rsid w:val="00F158A5"/>
    <w:rsid w:val="00F25DA6"/>
    <w:rsid w:val="00F26C03"/>
    <w:rsid w:val="00F62B3F"/>
    <w:rsid w:val="00F648E5"/>
    <w:rsid w:val="00FA6671"/>
    <w:rsid w:val="00FA68B3"/>
    <w:rsid w:val="00FA6AED"/>
    <w:rsid w:val="00FD6725"/>
    <w:rsid w:val="00FD7D49"/>
    <w:rsid w:val="00FF10A6"/>
    <w:rsid w:val="06832BC0"/>
    <w:rsid w:val="0B125DF2"/>
    <w:rsid w:val="0B931810"/>
    <w:rsid w:val="190C3AA2"/>
    <w:rsid w:val="20FB7252"/>
    <w:rsid w:val="2119618F"/>
    <w:rsid w:val="33AB206A"/>
    <w:rsid w:val="35CB260D"/>
    <w:rsid w:val="40606368"/>
    <w:rsid w:val="40A365DD"/>
    <w:rsid w:val="4294734C"/>
    <w:rsid w:val="472A12AB"/>
    <w:rsid w:val="4901004A"/>
    <w:rsid w:val="4D4F005B"/>
    <w:rsid w:val="4F3950CD"/>
    <w:rsid w:val="51657898"/>
    <w:rsid w:val="51B11EC7"/>
    <w:rsid w:val="53A3525C"/>
    <w:rsid w:val="5A226EA9"/>
    <w:rsid w:val="5B0D3DD0"/>
    <w:rsid w:val="5ED005A1"/>
    <w:rsid w:val="678E44EB"/>
    <w:rsid w:val="6A2073C1"/>
    <w:rsid w:val="6B6A4927"/>
    <w:rsid w:val="6BE37568"/>
    <w:rsid w:val="6F6F1364"/>
    <w:rsid w:val="6FEC1DAE"/>
    <w:rsid w:val="7046768A"/>
    <w:rsid w:val="734623E5"/>
    <w:rsid w:val="74052F48"/>
    <w:rsid w:val="79494FA5"/>
    <w:rsid w:val="7A211573"/>
    <w:rsid w:val="7E01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unhideWhenUsed/>
    <w:uiPriority w:val="99"/>
    <w:pPr>
      <w:ind w:left="100" w:leftChars="2500"/>
    </w:pPr>
  </w:style>
  <w:style w:type="paragraph" w:styleId="3">
    <w:name w:val="Balloon Text"/>
    <w:basedOn w:val="1"/>
    <w:link w:val="10"/>
    <w:semiHidden/>
    <w:uiPriority w:val="99"/>
    <w:rPr>
      <w:kern w:val="0"/>
      <w:sz w:val="18"/>
      <w:szCs w:val="20"/>
    </w:rPr>
  </w:style>
  <w:style w:type="paragraph" w:styleId="4">
    <w:name w:val="footer"/>
    <w:basedOn w:val="1"/>
    <w:link w:val="1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5">
    <w:name w:val="header"/>
    <w:basedOn w:val="1"/>
    <w:link w:val="12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6">
    <w:name w:val="Normal (Web)"/>
    <w:basedOn w:val="1"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9">
    <w:name w:val="日期 字符"/>
    <w:link w:val="2"/>
    <w:semiHidden/>
    <w:qFormat/>
    <w:uiPriority w:val="99"/>
    <w:rPr>
      <w:kern w:val="2"/>
      <w:sz w:val="21"/>
      <w:szCs w:val="22"/>
    </w:rPr>
  </w:style>
  <w:style w:type="character" w:customStyle="1" w:styleId="10">
    <w:name w:val="批注框文本 字符"/>
    <w:link w:val="3"/>
    <w:semiHidden/>
    <w:locked/>
    <w:uiPriority w:val="99"/>
    <w:rPr>
      <w:rFonts w:cs="Times New Roman"/>
      <w:sz w:val="18"/>
    </w:rPr>
  </w:style>
  <w:style w:type="character" w:customStyle="1" w:styleId="11">
    <w:name w:val="页脚 字符"/>
    <w:link w:val="4"/>
    <w:locked/>
    <w:uiPriority w:val="99"/>
    <w:rPr>
      <w:rFonts w:cs="Times New Roman"/>
      <w:kern w:val="2"/>
      <w:sz w:val="18"/>
    </w:rPr>
  </w:style>
  <w:style w:type="character" w:customStyle="1" w:styleId="12">
    <w:name w:val="页眉 字符"/>
    <w:link w:val="5"/>
    <w:locked/>
    <w:uiPriority w:val="99"/>
    <w:rPr>
      <w:rFonts w:cs="Times New Roman"/>
      <w:kern w:val="2"/>
      <w:sz w:val="18"/>
    </w:rPr>
  </w:style>
  <w:style w:type="paragraph" w:styleId="13">
    <w:name w:val="List Paragraph"/>
    <w:basedOn w:val="1"/>
    <w:qFormat/>
    <w:uiPriority w:val="99"/>
    <w:pPr>
      <w:ind w:firstLine="420" w:firstLineChars="200"/>
    </w:pPr>
  </w:style>
  <w:style w:type="character" w:styleId="14">
    <w:name w:val="Placeholder Text"/>
    <w:semiHidden/>
    <w:uiPriority w:val="99"/>
    <w:rPr>
      <w:rFonts w:cs="Times New Roman"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d538e2af-aee2-405f-a550-89305b69e073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67CE1195</paraID>
      <start>0</start>
      <end>2</end>
      <status>modified</status>
      <modifiedWord>1.</modifiedWord>
      <trackRevisions>false</trackRevisions>
    </reviewItem>
    <reviewItem>
      <errorID>d4d67907-01a7-4b5b-a753-40eb9c8983f5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67857963</paraID>
      <start>0</start>
      <end>2</end>
      <status>modified</status>
      <modifiedWord>2.</modifiedWord>
      <trackRevisions>false</trackRevisions>
    </reviewItem>
    <reviewItem>
      <errorID>5d7fd82c-22af-4167-90a2-080b25af3f03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68EB943</paraID>
      <start>0</start>
      <end>2</end>
      <status>modified</status>
      <modifiedWord>3.</modifiedWord>
      <trackRevisions>false</trackRevisions>
    </reviewItem>
    <reviewItem>
      <errorID>682a72bf-36e9-4b8b-a7b4-23471de931b3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2C660134</paraID>
      <start>0</start>
      <end>2</end>
      <status>modified</status>
      <modifiedWord>4.</modifiedWord>
      <trackRevisions>false</trackRevisions>
    </reviewItem>
    <reviewItem>
      <errorID>5862fc9a-5f8f-43e3-aee8-360ceb09de21</errorID>
      <errorWord>1%-10%</errorWord>
      <group>L1_Knowledge</group>
      <groupName>知识性问题</groupName>
      <ability>L2_Knowledge</ability>
      <abilityName>其他知识</abilityName>
      <candidateList>
        <item>1%—10%</item>
      </candidateList>
      <explain>1. “1%-10%”中的单位“%”仅出现在后一个数字上，容易引起歧义；根据《现代汉语标点符号数字用法规范手册》，数字表示范围两边需要使用统一的格式。2.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5DA65801</paraID>
      <start>0</start>
      <end>6</end>
      <status>modified</status>
      <modifiedWord>1%—10%</modifiedWord>
      <trackRevisions>false</trackRevisions>
    </reviewItem>
    <reviewItem>
      <errorID>03f5dd80-da46-4f7b-8c7b-eafed150f2bd</errorID>
      <errorWord>10%-20%</errorWord>
      <group>L1_Knowledge</group>
      <groupName>知识性问题</groupName>
      <ability>L2_Knowledge</ability>
      <abilityName>其他知识</abilityName>
      <candidateList>
        <item>10%—20%</item>
      </candidateList>
      <explain>1. “10%-20%”中的单位“%”仅出现在后一个数字上，容易引起歧义；根据《现代汉语标点符号数字用法规范手册》，数字表示范围两边需要使用统一的格式。2.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3958107E</paraID>
      <start>0</start>
      <end>7</end>
      <status>modified</status>
      <modifiedWord>10%—20%</modifiedWord>
      <trackRevisions>false</trackRevisions>
    </reviewItem>
    <reviewItem>
      <errorID>a75de018-f004-4656-95ca-efde61d825a9</errorID>
      <errorWord>20%-30%</errorWord>
      <group>L1_Knowledge</group>
      <groupName>知识性问题</groupName>
      <ability>L2_Knowledge</ability>
      <abilityName>其他知识</abilityName>
      <candidateList>
        <item>20%—30%</item>
      </candidateList>
      <explain>1. “20%-30%”中的单位“%”仅出现在后一个数字上，容易引起歧义；根据《现代汉语标点符号数字用法规范手册》，数字表示范围两边需要使用统一的格式。2.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2E20A100</paraID>
      <start>0</start>
      <end>7</end>
      <status>modified</status>
      <modifiedWord>20%—30%</modifiedWord>
      <trackRevisions>false</trackRevisions>
    </reviewItem>
    <reviewItem>
      <errorID>d0d1f07f-44dd-4d3f-b7e8-79ba997e25ba</errorID>
      <errorWord>中科院</errorWord>
      <group>L1_Knowledge</group>
      <groupName>知识性问题</groupName>
      <ability>L2_Knowledge</ability>
      <abilityName>其他知识</abilityName>
      <candidateList>
        <item>中国科学院</item>
      </candidateList>
      <explain/>
      <paraID>65FB6171</paraID>
      <start>0</start>
      <end>3</end>
      <status>ignored</status>
      <modifiedWord/>
      <trackRevisions>false</trackRevisions>
    </reviewItem>
    <reviewItem>
      <errorID>6c99d740-a1a2-443a-a1c4-d2f14e5b0892</errorID>
      <errorWord>II</errorWord>
      <group>L1_Knowledge</group>
      <groupName>知识性问题</groupName>
      <ability>L2_Knowledge</ability>
      <abilityName>其他知识</abilityName>
      <candidateList>
        <item>Ⅱ</item>
      </candidateList>
      <explain>中文环境下罗马数字格式错误。</explain>
      <paraID>187F136F</paraID>
      <start>16</start>
      <end>17</end>
      <status>modified</status>
      <modifiedWord>Ⅱ</modifiedWord>
      <trackRevisions>false</trackRevisions>
    </reviewItem>
    <reviewItem>
      <errorID>22326ba5-b2f9-4c9d-a5e0-7671b0fa8d95</errorID>
      <errorWord>中科院</errorWord>
      <group>L1_Knowledge</group>
      <groupName>知识性问题</groupName>
      <ability>L2_Knowledge</ability>
      <abilityName>其他知识</abilityName>
      <candidateList>
        <item>中国科学院</item>
      </candidateList>
      <explain/>
      <paraID>5E19572C</paraID>
      <start>0</start>
      <end>3</end>
      <status>ignored</status>
      <modifiedWord/>
      <trackRevisions>false</trackRevisions>
    </reviewItem>
    <reviewItem>
      <errorID>5ad9bfd3-8d50-4f34-ab2a-7174a852a1f5</errorID>
      <errorWord>III</errorWord>
      <group>L1_Knowledge</group>
      <groupName>知识性问题</groupName>
      <ability>L2_Knowledge</ability>
      <abilityName>其他知识</abilityName>
      <candidateList>
        <item>Ⅲ</item>
      </candidateList>
      <explain>中文环境下罗马数字格式错误。</explain>
      <paraID>2610DAFB</paraID>
      <start>16</start>
      <end>19</end>
      <status>ignored</status>
      <modifiedWord/>
      <trackRevisions>false</trackRevisions>
    </reviewItem>
    <reviewItem>
      <errorID>05241e4d-67c7-4627-906c-65c9f8333fec</errorID>
      <errorWord>中科院</errorWord>
      <group>L1_Knowledge</group>
      <groupName>知识性问题</groupName>
      <ability>L2_Knowledge</ability>
      <abilityName>其他知识</abilityName>
      <candidateList>
        <item>中国科学院</item>
      </candidateList>
      <explain/>
      <paraID>6FAD8EF2</paraID>
      <start>0</start>
      <end>3</end>
      <status>ignored</status>
      <modifiedWord/>
      <trackRevisions>false</trackRevisions>
    </reviewItem>
    <reviewItem>
      <errorID>50ab38b2-2378-4b78-a634-05f3ed5c8d71</errorID>
      <errorWord>IV</errorWord>
      <group>L1_Knowledge</group>
      <groupName>知识性问题</groupName>
      <ability>L2_Knowledge</ability>
      <abilityName>其他知识</abilityName>
      <candidateList>
        <item>Ⅳ</item>
      </candidateList>
      <explain>中文环境下罗马数字格式错误。</explain>
      <paraID>4CD8F1F8</paraID>
      <start>16</start>
      <end>17</end>
      <status>modified</status>
      <modifiedWord>Ⅳ</modifiedWord>
      <trackRevisions>false</trackRevisions>
    </reviewItem>
    <reviewItem>
      <errorID>baa94986-86eb-4d25-9d74-474db18890e1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39552FA</paraID>
      <start>0</start>
      <end>2</end>
      <status>modified</status>
      <modifiedWord>3.</modifiedWord>
      <trackRevisions>false</trackRevisions>
    </reviewItem>
    <reviewItem>
      <errorID>ff0078e3-313c-4aaf-9dd2-c2e07ad2ba31</errorID>
      <errorWord>”、“</errorWord>
      <group>L1_Punc</group>
      <groupName>标点问题</groupName>
      <ability>L2_Punc_CN</ability>
      <abilityName>标点符号问题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2348E043</paraID>
      <start>24</start>
      <end>26</end>
      <status>modified</status>
      <modifiedWord>”“</modifiedWord>
      <trackRevisions>false</trackRevisions>
    </reviewItem>
    <reviewItem>
      <errorID>84cefbe8-c4bd-40ab-9b6b-a41ec24ea7ca</errorID>
      <errorWord>”、“</errorWord>
      <group>L1_Punc</group>
      <groupName>标点问题</groupName>
      <ability>L2_Punc_CN</ability>
      <abilityName>标点符号问题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2348E043</paraID>
      <start>32</start>
      <end>34</end>
      <status>modified</status>
      <modifiedWord>”“</modifiedWord>
      <trackRevisions>false</trackRevisions>
    </reviewItem>
    <reviewItem>
      <errorID>8e3777e5-0430-4ac2-a065-21776a6b8880</errorID>
      <errorWord>”、“</errorWord>
      <group>L1_Punc</group>
      <groupName>标点问题</groupName>
      <ability>L2_Punc_CN</ability>
      <abilityName>标点符号问题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2348E043</paraID>
      <start>38</start>
      <end>40</end>
      <status>modified</status>
      <modifiedWord>”“</modifiedWord>
      <trackRevisions>false</trackRevisions>
    </reviewItem>
    <reviewItem>
      <errorID>463c49e6-1844-4fcd-a7ac-97ac442347f1</errorID>
      <errorWord>”、“</errorWord>
      <group>L1_Punc</group>
      <groupName>标点问题</groupName>
      <ability>L2_Punc_CN</ability>
      <abilityName>标点符号问题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2348E043</paraID>
      <start>45</start>
      <end>47</end>
      <status>modified</status>
      <modifiedWord>”“</modifiedWord>
      <trackRevisions>false</trackRevisions>
    </reviewItem>
    <reviewItem>
      <errorID>bb940384-32f1-48e7-b281-b81ce7cf8861</errorID>
      <errorWord>重点考察学生</errorWord>
      <group>L1_Word</group>
      <groupName>字词问题</groupName>
      <ability>L2_Typo</ability>
      <abilityName>字词错误</abilityName>
      <candidateList>
        <item>重点考查学生</item>
      </candidateList>
      <explain/>
      <paraID>4D50DC05</paraID>
      <start>4</start>
      <end>10</end>
      <status>modified</status>
      <modifiedWord>重点考查学生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86d0dfde-e468-4742-92de-2dd63ad1a21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1214</Words>
  <Characters>1304</Characters>
  <Lines>10</Lines>
  <Paragraphs>2</Paragraphs>
  <TotalTime>4</TotalTime>
  <ScaleCrop>false</ScaleCrop>
  <LinksUpToDate>false</LinksUpToDate>
  <CharactersWithSpaces>1304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2022-09-09T06:08:00Z</dcterms:created>
  <dc:creator>赵洁</dc:creator>
  <cp:lastModifiedBy>靓</cp:lastModifiedBy>
  <cp:lastPrinted>2021-09-30T02:18:00Z</cp:lastPrinted>
  <dcterms:modified xsi:type="dcterms:W3CDTF">2026-09-10T13:47:09Z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eyJoZGlkIjoiNDZhZDAyMzI2ZmRiYzY5YTk3ZDk0OTEzOGY4Y2Y3NWMiLCJ1c2VySWQiOiI2MjU2NjczODcifQ==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FE382907B3A545E68E627B88373B2943_13</vt:lpwstr>
  </property>
</Properties>
</file>