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97D35">
      <w:pPr>
        <w:spacing w:after="404" w:line="240" w:lineRule="auto"/>
        <w:ind w:left="482" w:right="244" w:firstLine="720"/>
        <w:jc w:val="center"/>
        <w:rPr>
          <w:rFonts w:ascii="黑体" w:hAnsi="黑体" w:eastAsia="黑体" w:cs="黑体"/>
          <w:sz w:val="36"/>
        </w:rPr>
      </w:pPr>
      <w:r>
        <w:rPr>
          <w:rFonts w:hint="eastAsia" w:ascii="黑体" w:hAnsi="黑体" w:eastAsia="黑体" w:cs="黑体"/>
          <w:sz w:val="36"/>
        </w:rPr>
        <w:t>上海理工大学储能工程研究生</w:t>
      </w:r>
      <w:r>
        <w:rPr>
          <w:rFonts w:ascii="黑体" w:hAnsi="黑体" w:eastAsia="黑体" w:cs="黑体"/>
          <w:sz w:val="36"/>
        </w:rPr>
        <w:t>微专业</w:t>
      </w:r>
    </w:p>
    <w:p w14:paraId="69DF21F4">
      <w:pPr>
        <w:spacing w:after="404" w:line="240" w:lineRule="auto"/>
        <w:ind w:left="482" w:right="244" w:firstLine="720"/>
        <w:jc w:val="center"/>
        <w:rPr>
          <w:rFonts w:ascii="黑体" w:hAnsi="黑体" w:eastAsia="黑体" w:cs="黑体"/>
          <w:sz w:val="36"/>
        </w:rPr>
      </w:pPr>
      <w:r>
        <w:rPr>
          <w:rFonts w:hint="eastAsia" w:ascii="黑体" w:hAnsi="黑体" w:eastAsia="黑体" w:cs="黑体"/>
          <w:sz w:val="36"/>
        </w:rPr>
        <w:t>培养方案</w:t>
      </w:r>
    </w:p>
    <w:p w14:paraId="302674BE">
      <w:pPr>
        <w:spacing w:after="404" w:line="259" w:lineRule="auto"/>
        <w:ind w:left="482" w:right="242" w:firstLine="480"/>
        <w:jc w:val="center"/>
      </w:pPr>
      <w:r>
        <w:rPr>
          <w:rFonts w:hint="eastAsia"/>
        </w:rPr>
        <w:t>专业负责人：武卫东</w:t>
      </w:r>
      <w:r>
        <w:t xml:space="preserve">        </w:t>
      </w:r>
      <w:r>
        <w:rPr>
          <w:rFonts w:hint="eastAsia"/>
        </w:rPr>
        <w:t>能源与动力工程学院</w:t>
      </w:r>
    </w:p>
    <w:p w14:paraId="4E597477">
      <w:pPr>
        <w:pStyle w:val="2"/>
        <w:numPr>
          <w:ilvl w:val="0"/>
          <w:numId w:val="1"/>
        </w:numPr>
      </w:pPr>
      <w:r>
        <w:t>微专业简介</w:t>
      </w:r>
    </w:p>
    <w:p w14:paraId="58D5D218">
      <w:pPr>
        <w:ind w:left="482" w:firstLine="480" w:firstLineChars="200"/>
        <w:jc w:val="both"/>
      </w:pPr>
      <w:r>
        <w:rPr>
          <w:rFonts w:hint="eastAsia"/>
        </w:rPr>
        <w:t>本专业定位于满足国家和社会对经济和环境可持续发展及对储能工程领域新技术、新产业、新业态、新模式的发展需求，通过完成一套完整的课程体系，培养能全面掌握储能工程领域核心知识和技能的个性化和专业化人才。专业根据市场需求和学生兴趣及职业发展规划灵活设置专业课程，注重理论与实践结合，强调学生在真实项目中的实践操作能力，并通过开设新兴领域和前沿技术，鼓励学生进行创新思维和创造性实践，</w:t>
      </w:r>
      <w:r>
        <w:t>重点服务于能源、动力、 电力、环境、汽车、石化和冶金等行业，培养掌握储能的工艺原理、装备设计与制造、智能控制等多学科综合知识，具有基础厚、实践强、能创新、国际视野宽的高素质技术人才，具备从事储能领域相关的研究开发、工程设计、运行优化、制造和管理的技术能力和工程实践能力。</w:t>
      </w:r>
    </w:p>
    <w:p w14:paraId="1DE9CCE5">
      <w:pPr>
        <w:pStyle w:val="2"/>
        <w:numPr>
          <w:ilvl w:val="0"/>
          <w:numId w:val="1"/>
        </w:numPr>
      </w:pPr>
      <w:r>
        <w:t>培养目标</w:t>
      </w:r>
    </w:p>
    <w:p w14:paraId="2D662F6E">
      <w:pPr>
        <w:ind w:left="482" w:firstLine="480" w:firstLineChars="200"/>
        <w:jc w:val="both"/>
      </w:pPr>
      <w:r>
        <w:rPr>
          <w:rFonts w:hint="eastAsia"/>
        </w:rPr>
        <w:t>掌握电化学储能、冷/热储能、机械储能等主流储能技术的原理、技术与应用；掌握储能材料的制备、表征、分析及工艺技术；</w:t>
      </w:r>
      <w:r>
        <w:t>掌握储能系统的设计与集成</w:t>
      </w:r>
      <w:r>
        <w:rPr>
          <w:rFonts w:hint="eastAsia"/>
        </w:rPr>
        <w:t>方法；掌握现代工程工具的使用并能应用于储能系统的分析和研究；了解储能技术的最新发展，包括高效率、低成本、安全可靠的大规模储能系统、新型电池技术、可再生能源的储存与应用技术、以及储能系统的智能化管理与优化技术。培养学生</w:t>
      </w:r>
      <w:r>
        <w:t>具有坚实的储能基础理论和专门知识，</w:t>
      </w:r>
      <w:r>
        <w:rPr>
          <w:rFonts w:hint="eastAsia"/>
        </w:rPr>
        <w:t>达到能够进行储能系统的整体设计的能力，具备储能领域的创新意识和问题解决能力以及</w:t>
      </w:r>
      <w:r>
        <w:t>独立从事储能科学研究工作的能力，并能做出创造性成果</w:t>
      </w:r>
      <w:r>
        <w:rPr>
          <w:rFonts w:hint="eastAsia"/>
        </w:rPr>
        <w:t>；</w:t>
      </w:r>
      <w:r>
        <w:t>能够跟踪储能科学与工程及其相关领域的前沿技术，</w:t>
      </w:r>
      <w:r>
        <w:rPr>
          <w:rFonts w:hint="eastAsia"/>
        </w:rPr>
        <w:t>创新性地运用现代工具从事相关产品的设计、开发和生产；具备团队协作能力以及工程项目的管理和研发能力；</w:t>
      </w:r>
      <w:r>
        <w:t>熟知工程规范，遵守职业操守</w:t>
      </w:r>
      <w:r>
        <w:rPr>
          <w:rFonts w:hint="eastAsia"/>
        </w:rPr>
        <w:t>，</w:t>
      </w:r>
      <w:r>
        <w:t>能自觉有效贯彻法律法规并综合考虑环境、文化和可持续发展等因素对问题解决方案的影响</w:t>
      </w:r>
      <w:r>
        <w:rPr>
          <w:rFonts w:hint="eastAsia"/>
        </w:rPr>
        <w:t>；</w:t>
      </w:r>
      <w:r>
        <w:t>具有国际视野，具备自我提升和终生学习能力、能够开展多学科、跨文化的技术交流</w:t>
      </w:r>
      <w:r>
        <w:rPr>
          <w:rFonts w:hint="eastAsia"/>
        </w:rPr>
        <w:t>。经过本专业的学习，学生将能够从事储能科学与工程领域的研究与开发、储能系统的设计与运行管理以及储能材料与器件的开发与生产工作，推动储能技术的发展和应用。</w:t>
      </w:r>
    </w:p>
    <w:p w14:paraId="44365851">
      <w:pPr>
        <w:pStyle w:val="2"/>
        <w:numPr>
          <w:ilvl w:val="0"/>
          <w:numId w:val="1"/>
        </w:numPr>
      </w:pPr>
      <w:r>
        <w:rPr>
          <w:rFonts w:hint="eastAsia"/>
        </w:rPr>
        <w:t>培养对象</w:t>
      </w:r>
      <w:r>
        <w:t>及条件</w:t>
      </w:r>
    </w:p>
    <w:p w14:paraId="73E6EE98">
      <w:pPr>
        <w:pStyle w:val="19"/>
        <w:numPr>
          <w:ilvl w:val="0"/>
          <w:numId w:val="2"/>
        </w:numPr>
        <w:spacing w:line="367" w:lineRule="auto"/>
        <w:ind w:left="1009" w:hanging="527" w:firstLineChars="0"/>
        <w:jc w:val="both"/>
      </w:pPr>
      <w:r>
        <w:t>招生对象：</w:t>
      </w:r>
      <w:r>
        <w:rPr>
          <w:rFonts w:hint="eastAsia"/>
        </w:rPr>
        <w:t>对先进储能技术、新能源及可持续发展等领域有浓厚兴趣和热情、期望从事储能领域相关工作的研究生。</w:t>
      </w:r>
    </w:p>
    <w:p w14:paraId="7D5C2EE2">
      <w:pPr>
        <w:pStyle w:val="19"/>
        <w:numPr>
          <w:ilvl w:val="0"/>
          <w:numId w:val="2"/>
        </w:numPr>
        <w:spacing w:line="367" w:lineRule="auto"/>
        <w:ind w:left="1009" w:hanging="527" w:firstLineChars="0"/>
        <w:jc w:val="both"/>
      </w:pPr>
      <w:r>
        <w:t>招生人数：</w:t>
      </w:r>
      <w:r>
        <w:rPr>
          <w:rFonts w:hint="eastAsia"/>
        </w:rPr>
        <w:t>30-50人</w:t>
      </w:r>
    </w:p>
    <w:p w14:paraId="547F8312">
      <w:pPr>
        <w:pStyle w:val="19"/>
        <w:numPr>
          <w:ilvl w:val="0"/>
          <w:numId w:val="2"/>
        </w:numPr>
        <w:spacing w:line="367" w:lineRule="auto"/>
        <w:ind w:left="1009" w:hanging="527" w:firstLineChars="0"/>
        <w:jc w:val="both"/>
      </w:pPr>
      <w:r>
        <w:t>报名条件：</w:t>
      </w:r>
      <w:r>
        <w:rPr>
          <w:rFonts w:hint="eastAsia"/>
        </w:rPr>
        <w:t>学习者应具有优良的品德，身心健康，严格遵守国家的法律法规及相关规章制度；具有独立及合作开展储能领域相关基础和应用研究的能力，能够科学地运用知识解决实际问题；具有创新意识和创新能力；掌握一门以上外语，能够熟练阅读本专业的外文资料；具有良好的写作能力，能够运用逻辑思维进行文字编辑和表达。</w:t>
      </w:r>
    </w:p>
    <w:p w14:paraId="3AD423D4">
      <w:pPr>
        <w:pStyle w:val="2"/>
        <w:numPr>
          <w:ilvl w:val="0"/>
          <w:numId w:val="3"/>
        </w:numPr>
      </w:pPr>
      <w:r>
        <w:rPr>
          <w:rFonts w:hint="eastAsia"/>
        </w:rPr>
        <w:t>核心</w:t>
      </w:r>
      <w:r>
        <w:t>课程</w:t>
      </w:r>
    </w:p>
    <w:tbl>
      <w:tblPr>
        <w:tblStyle w:val="12"/>
        <w:tblW w:w="8546" w:type="dxa"/>
        <w:tblInd w:w="155" w:type="dxa"/>
        <w:tblLayout w:type="fixed"/>
        <w:tblCellMar>
          <w:top w:w="55" w:type="dxa"/>
          <w:left w:w="155" w:type="dxa"/>
          <w:bottom w:w="0" w:type="dxa"/>
          <w:right w:w="115" w:type="dxa"/>
        </w:tblCellMar>
      </w:tblPr>
      <w:tblGrid>
        <w:gridCol w:w="688"/>
        <w:gridCol w:w="2326"/>
        <w:gridCol w:w="632"/>
        <w:gridCol w:w="911"/>
        <w:gridCol w:w="1016"/>
        <w:gridCol w:w="1020"/>
        <w:gridCol w:w="937"/>
        <w:gridCol w:w="1016"/>
      </w:tblGrid>
      <w:tr w14:paraId="6383AB3D">
        <w:tblPrEx>
          <w:tblCellMar>
            <w:top w:w="55" w:type="dxa"/>
            <w:left w:w="155" w:type="dxa"/>
            <w:bottom w:w="0" w:type="dxa"/>
            <w:right w:w="115" w:type="dxa"/>
          </w:tblCellMar>
        </w:tblPrEx>
        <w:trPr>
          <w:trHeight w:val="356" w:hRule="atLeast"/>
        </w:trPr>
        <w:tc>
          <w:tcPr>
            <w:tcW w:w="688" w:type="dxa"/>
            <w:vMerge w:val="restart"/>
            <w:tcBorders>
              <w:top w:val="single" w:color="000000" w:sz="4" w:space="0"/>
              <w:left w:val="single" w:color="000000" w:sz="4" w:space="0"/>
              <w:right w:val="single" w:color="000000" w:sz="4" w:space="0"/>
            </w:tcBorders>
            <w:vAlign w:val="center"/>
          </w:tcPr>
          <w:p w14:paraId="776F5122">
            <w:pPr>
              <w:adjustRightInd w:val="0"/>
              <w:spacing w:after="0" w:line="259" w:lineRule="auto"/>
              <w:ind w:left="0" w:firstLine="0"/>
              <w:jc w:val="center"/>
              <w:rPr>
                <w:rFonts w:ascii="黑体" w:hAnsi="黑体" w:eastAsia="黑体" w:cs="黑体"/>
                <w:sz w:val="18"/>
              </w:rPr>
            </w:pPr>
            <w:r>
              <w:rPr>
                <w:rFonts w:hint="eastAsia" w:ascii="黑体" w:hAnsi="黑体" w:eastAsia="黑体" w:cs="黑体"/>
                <w:sz w:val="18"/>
              </w:rPr>
              <w:t>序号</w:t>
            </w:r>
          </w:p>
        </w:tc>
        <w:tc>
          <w:tcPr>
            <w:tcW w:w="2326" w:type="dxa"/>
            <w:vMerge w:val="restart"/>
            <w:tcBorders>
              <w:top w:val="single" w:color="000000" w:sz="4" w:space="0"/>
              <w:left w:val="single" w:color="000000" w:sz="4" w:space="0"/>
              <w:bottom w:val="single" w:color="000000" w:sz="4" w:space="0"/>
              <w:right w:val="single" w:color="000000" w:sz="4" w:space="0"/>
            </w:tcBorders>
            <w:vAlign w:val="center"/>
          </w:tcPr>
          <w:p w14:paraId="04886C62">
            <w:pPr>
              <w:adjustRightInd w:val="0"/>
              <w:spacing w:after="0" w:line="259" w:lineRule="auto"/>
              <w:ind w:left="0" w:firstLine="0"/>
              <w:jc w:val="center"/>
            </w:pPr>
            <w:r>
              <w:rPr>
                <w:rFonts w:ascii="黑体" w:hAnsi="黑体" w:eastAsia="黑体" w:cs="黑体"/>
                <w:sz w:val="18"/>
              </w:rPr>
              <w:t>课程名称</w:t>
            </w:r>
          </w:p>
        </w:tc>
        <w:tc>
          <w:tcPr>
            <w:tcW w:w="632" w:type="dxa"/>
            <w:vMerge w:val="restart"/>
            <w:tcBorders>
              <w:top w:val="single" w:color="000000" w:sz="4" w:space="0"/>
              <w:left w:val="single" w:color="000000" w:sz="4" w:space="0"/>
              <w:bottom w:val="single" w:color="000000" w:sz="4" w:space="0"/>
              <w:right w:val="single" w:color="auto" w:sz="4" w:space="0"/>
            </w:tcBorders>
            <w:vAlign w:val="center"/>
          </w:tcPr>
          <w:p w14:paraId="00B295CA">
            <w:pPr>
              <w:adjustRightInd w:val="0"/>
              <w:spacing w:after="0" w:line="259" w:lineRule="auto"/>
              <w:ind w:left="0" w:firstLine="0"/>
              <w:jc w:val="center"/>
            </w:pPr>
            <w:r>
              <w:rPr>
                <w:rFonts w:ascii="黑体" w:hAnsi="黑体" w:eastAsia="黑体" w:cs="黑体"/>
                <w:sz w:val="18"/>
              </w:rPr>
              <w:t>学分</w:t>
            </w:r>
          </w:p>
        </w:tc>
        <w:tc>
          <w:tcPr>
            <w:tcW w:w="911" w:type="dxa"/>
            <w:vMerge w:val="restart"/>
            <w:tcBorders>
              <w:top w:val="single" w:color="auto" w:sz="4" w:space="0"/>
              <w:left w:val="single" w:color="auto" w:sz="4" w:space="0"/>
              <w:right w:val="single" w:color="auto" w:sz="4" w:space="0"/>
            </w:tcBorders>
            <w:vAlign w:val="center"/>
          </w:tcPr>
          <w:p w14:paraId="5E2923F9">
            <w:pPr>
              <w:adjustRightInd w:val="0"/>
              <w:spacing w:after="0" w:line="259" w:lineRule="auto"/>
              <w:ind w:left="0" w:firstLine="0"/>
              <w:jc w:val="center"/>
              <w:rPr>
                <w:rFonts w:ascii="黑体" w:hAnsi="黑体" w:eastAsia="黑体" w:cs="黑体"/>
                <w:sz w:val="18"/>
              </w:rPr>
            </w:pPr>
            <w:r>
              <w:rPr>
                <w:rFonts w:ascii="黑体" w:hAnsi="黑体" w:eastAsia="黑体" w:cs="黑体"/>
                <w:sz w:val="18"/>
              </w:rPr>
              <w:t>学时</w:t>
            </w:r>
          </w:p>
        </w:tc>
        <w:tc>
          <w:tcPr>
            <w:tcW w:w="2036" w:type="dxa"/>
            <w:gridSpan w:val="2"/>
            <w:tcBorders>
              <w:top w:val="single" w:color="auto" w:sz="4" w:space="0"/>
              <w:left w:val="single" w:color="auto" w:sz="4" w:space="0"/>
              <w:bottom w:val="single" w:color="auto" w:sz="4" w:space="0"/>
              <w:right w:val="single" w:color="auto" w:sz="4" w:space="0"/>
            </w:tcBorders>
          </w:tcPr>
          <w:p w14:paraId="6B55ED22">
            <w:pPr>
              <w:adjustRightInd w:val="0"/>
              <w:spacing w:after="0" w:line="259" w:lineRule="auto"/>
              <w:ind w:left="0" w:firstLine="0"/>
              <w:jc w:val="center"/>
              <w:rPr>
                <w:rFonts w:ascii="黑体" w:hAnsi="黑体" w:eastAsia="黑体" w:cs="黑体"/>
                <w:sz w:val="18"/>
              </w:rPr>
            </w:pPr>
            <w:r>
              <w:rPr>
                <w:rFonts w:hint="eastAsia" w:ascii="黑体" w:hAnsi="黑体" w:eastAsia="黑体" w:cs="黑体"/>
                <w:sz w:val="18"/>
              </w:rPr>
              <w:t>分解学时</w:t>
            </w:r>
          </w:p>
        </w:tc>
        <w:tc>
          <w:tcPr>
            <w:tcW w:w="937" w:type="dxa"/>
            <w:vMerge w:val="restart"/>
            <w:tcBorders>
              <w:top w:val="single" w:color="000000" w:sz="4" w:space="0"/>
              <w:left w:val="single" w:color="auto" w:sz="4" w:space="0"/>
              <w:bottom w:val="single" w:color="000000" w:sz="4" w:space="0"/>
              <w:right w:val="single" w:color="000000" w:sz="4" w:space="0"/>
            </w:tcBorders>
            <w:vAlign w:val="center"/>
          </w:tcPr>
          <w:p w14:paraId="5A77294F">
            <w:pPr>
              <w:adjustRightInd w:val="0"/>
              <w:spacing w:after="0" w:line="259" w:lineRule="auto"/>
              <w:ind w:left="0" w:firstLine="0"/>
              <w:jc w:val="center"/>
              <w:rPr>
                <w:rFonts w:ascii="黑体" w:hAnsi="黑体" w:eastAsia="黑体" w:cs="黑体"/>
                <w:sz w:val="18"/>
              </w:rPr>
            </w:pPr>
            <w:r>
              <w:rPr>
                <w:rFonts w:ascii="黑体" w:hAnsi="黑体" w:eastAsia="黑体" w:cs="黑体"/>
                <w:sz w:val="18"/>
              </w:rPr>
              <w:t>考核</w:t>
            </w:r>
          </w:p>
          <w:p w14:paraId="2878B48F">
            <w:pPr>
              <w:adjustRightInd w:val="0"/>
              <w:spacing w:after="0" w:line="259" w:lineRule="auto"/>
              <w:ind w:left="0" w:firstLine="0"/>
              <w:jc w:val="center"/>
            </w:pPr>
            <w:r>
              <w:rPr>
                <w:rFonts w:ascii="黑体" w:hAnsi="黑体" w:eastAsia="黑体" w:cs="黑体"/>
                <w:sz w:val="18"/>
              </w:rPr>
              <w:t>方式</w:t>
            </w:r>
          </w:p>
        </w:tc>
        <w:tc>
          <w:tcPr>
            <w:tcW w:w="1016" w:type="dxa"/>
            <w:vMerge w:val="restart"/>
            <w:tcBorders>
              <w:top w:val="single" w:color="000000" w:sz="4" w:space="0"/>
              <w:left w:val="single" w:color="000000" w:sz="4" w:space="0"/>
              <w:bottom w:val="single" w:color="000000" w:sz="4" w:space="0"/>
              <w:right w:val="single" w:color="000000" w:sz="4" w:space="0"/>
            </w:tcBorders>
            <w:vAlign w:val="center"/>
          </w:tcPr>
          <w:p w14:paraId="39B3AB44">
            <w:pPr>
              <w:adjustRightInd w:val="0"/>
              <w:spacing w:after="0" w:line="259" w:lineRule="auto"/>
              <w:ind w:left="0" w:firstLine="0"/>
              <w:jc w:val="center"/>
              <w:rPr>
                <w:rFonts w:ascii="黑体" w:hAnsi="黑体" w:eastAsia="黑体" w:cs="黑体"/>
                <w:sz w:val="18"/>
              </w:rPr>
            </w:pPr>
            <w:r>
              <w:rPr>
                <w:rFonts w:ascii="黑体" w:hAnsi="黑体" w:eastAsia="黑体" w:cs="黑体"/>
                <w:sz w:val="18"/>
              </w:rPr>
              <w:t>开课</w:t>
            </w:r>
          </w:p>
          <w:p w14:paraId="3CBE16F6">
            <w:pPr>
              <w:adjustRightInd w:val="0"/>
              <w:spacing w:after="0" w:line="259" w:lineRule="auto"/>
              <w:ind w:left="0" w:firstLine="0"/>
              <w:jc w:val="center"/>
            </w:pPr>
            <w:r>
              <w:rPr>
                <w:rFonts w:ascii="黑体" w:hAnsi="黑体" w:eastAsia="黑体" w:cs="黑体"/>
                <w:sz w:val="18"/>
              </w:rPr>
              <w:t>学期</w:t>
            </w:r>
          </w:p>
        </w:tc>
      </w:tr>
      <w:tr w14:paraId="55DB0C53">
        <w:tblPrEx>
          <w:tblCellMar>
            <w:top w:w="55" w:type="dxa"/>
            <w:left w:w="155" w:type="dxa"/>
            <w:bottom w:w="0" w:type="dxa"/>
            <w:right w:w="115" w:type="dxa"/>
          </w:tblCellMar>
        </w:tblPrEx>
        <w:trPr>
          <w:trHeight w:val="322" w:hRule="atLeast"/>
        </w:trPr>
        <w:tc>
          <w:tcPr>
            <w:tcW w:w="688" w:type="dxa"/>
            <w:vMerge w:val="continue"/>
            <w:tcBorders>
              <w:left w:val="single" w:color="000000" w:sz="4" w:space="0"/>
              <w:bottom w:val="single" w:color="000000" w:sz="4" w:space="0"/>
              <w:right w:val="single" w:color="000000" w:sz="4" w:space="0"/>
            </w:tcBorders>
          </w:tcPr>
          <w:p w14:paraId="4D4D3520">
            <w:pPr>
              <w:adjustRightInd w:val="0"/>
              <w:spacing w:after="160" w:line="259" w:lineRule="auto"/>
              <w:ind w:left="0" w:firstLine="0"/>
            </w:pPr>
          </w:p>
        </w:tc>
        <w:tc>
          <w:tcPr>
            <w:tcW w:w="2326" w:type="dxa"/>
            <w:vMerge w:val="continue"/>
            <w:tcBorders>
              <w:top w:val="nil"/>
              <w:left w:val="single" w:color="000000" w:sz="4" w:space="0"/>
              <w:bottom w:val="single" w:color="000000" w:sz="4" w:space="0"/>
              <w:right w:val="single" w:color="000000" w:sz="4" w:space="0"/>
            </w:tcBorders>
          </w:tcPr>
          <w:p w14:paraId="25FBF108">
            <w:pPr>
              <w:adjustRightInd w:val="0"/>
              <w:spacing w:after="160" w:line="259" w:lineRule="auto"/>
              <w:ind w:left="0" w:firstLine="0"/>
            </w:pPr>
          </w:p>
        </w:tc>
        <w:tc>
          <w:tcPr>
            <w:tcW w:w="632" w:type="dxa"/>
            <w:vMerge w:val="continue"/>
            <w:tcBorders>
              <w:top w:val="nil"/>
              <w:left w:val="single" w:color="000000" w:sz="4" w:space="0"/>
              <w:bottom w:val="single" w:color="000000" w:sz="4" w:space="0"/>
              <w:right w:val="single" w:color="auto" w:sz="4" w:space="0"/>
            </w:tcBorders>
          </w:tcPr>
          <w:p w14:paraId="4D5A82AB">
            <w:pPr>
              <w:adjustRightInd w:val="0"/>
              <w:spacing w:after="160" w:line="259" w:lineRule="auto"/>
              <w:ind w:left="0" w:firstLine="0"/>
            </w:pPr>
          </w:p>
        </w:tc>
        <w:tc>
          <w:tcPr>
            <w:tcW w:w="911" w:type="dxa"/>
            <w:vMerge w:val="continue"/>
            <w:tcBorders>
              <w:left w:val="single" w:color="auto" w:sz="4" w:space="0"/>
              <w:bottom w:val="single" w:color="000000" w:sz="4" w:space="0"/>
              <w:right w:val="single" w:color="auto" w:sz="4" w:space="0"/>
            </w:tcBorders>
          </w:tcPr>
          <w:p w14:paraId="2453ADE5">
            <w:pPr>
              <w:adjustRightInd w:val="0"/>
              <w:spacing w:after="0" w:line="259" w:lineRule="auto"/>
              <w:ind w:left="0" w:firstLine="0"/>
              <w:jc w:val="both"/>
            </w:pPr>
          </w:p>
        </w:tc>
        <w:tc>
          <w:tcPr>
            <w:tcW w:w="1016" w:type="dxa"/>
            <w:tcBorders>
              <w:top w:val="single" w:color="auto" w:sz="4" w:space="0"/>
              <w:left w:val="single" w:color="auto" w:sz="4" w:space="0"/>
              <w:bottom w:val="single" w:color="000000" w:sz="4" w:space="0"/>
              <w:right w:val="single" w:color="000000" w:sz="4" w:space="0"/>
            </w:tcBorders>
          </w:tcPr>
          <w:p w14:paraId="3942E084">
            <w:pPr>
              <w:adjustRightInd w:val="0"/>
              <w:spacing w:after="0" w:line="259" w:lineRule="auto"/>
              <w:ind w:left="0" w:firstLine="0"/>
              <w:jc w:val="center"/>
            </w:pPr>
            <w:r>
              <w:rPr>
                <w:rFonts w:ascii="黑体" w:hAnsi="黑体" w:eastAsia="黑体" w:cs="黑体"/>
                <w:sz w:val="18"/>
              </w:rPr>
              <w:t>理论</w:t>
            </w:r>
          </w:p>
        </w:tc>
        <w:tc>
          <w:tcPr>
            <w:tcW w:w="1020" w:type="dxa"/>
            <w:tcBorders>
              <w:top w:val="single" w:color="auto" w:sz="4" w:space="0"/>
              <w:left w:val="single" w:color="000000" w:sz="4" w:space="0"/>
              <w:bottom w:val="single" w:color="000000" w:sz="4" w:space="0"/>
              <w:right w:val="single" w:color="000000" w:sz="4" w:space="0"/>
            </w:tcBorders>
          </w:tcPr>
          <w:p w14:paraId="55ABF5E1">
            <w:pPr>
              <w:adjustRightInd w:val="0"/>
              <w:spacing w:after="0" w:line="259" w:lineRule="auto"/>
              <w:ind w:left="0" w:firstLine="0"/>
              <w:jc w:val="center"/>
            </w:pPr>
            <w:r>
              <w:rPr>
                <w:rFonts w:ascii="黑体" w:hAnsi="黑体" w:eastAsia="黑体" w:cs="黑体"/>
                <w:sz w:val="18"/>
              </w:rPr>
              <w:t>实践</w:t>
            </w:r>
          </w:p>
        </w:tc>
        <w:tc>
          <w:tcPr>
            <w:tcW w:w="937" w:type="dxa"/>
            <w:vMerge w:val="continue"/>
            <w:tcBorders>
              <w:top w:val="nil"/>
              <w:left w:val="single" w:color="000000" w:sz="4" w:space="0"/>
              <w:bottom w:val="single" w:color="000000" w:sz="4" w:space="0"/>
              <w:right w:val="single" w:color="000000" w:sz="4" w:space="0"/>
            </w:tcBorders>
          </w:tcPr>
          <w:p w14:paraId="41048EFB">
            <w:pPr>
              <w:adjustRightInd w:val="0"/>
              <w:spacing w:after="160" w:line="259" w:lineRule="auto"/>
              <w:ind w:left="0" w:firstLine="0"/>
            </w:pPr>
          </w:p>
        </w:tc>
        <w:tc>
          <w:tcPr>
            <w:tcW w:w="1016" w:type="dxa"/>
            <w:vMerge w:val="continue"/>
            <w:tcBorders>
              <w:top w:val="nil"/>
              <w:left w:val="single" w:color="000000" w:sz="4" w:space="0"/>
              <w:bottom w:val="single" w:color="000000" w:sz="4" w:space="0"/>
              <w:right w:val="single" w:color="000000" w:sz="4" w:space="0"/>
            </w:tcBorders>
          </w:tcPr>
          <w:p w14:paraId="66EE0FA5">
            <w:pPr>
              <w:adjustRightInd w:val="0"/>
              <w:spacing w:after="160" w:line="259" w:lineRule="auto"/>
              <w:ind w:left="0" w:firstLine="0"/>
            </w:pPr>
          </w:p>
        </w:tc>
      </w:tr>
      <w:tr w14:paraId="6C3E3F40">
        <w:tblPrEx>
          <w:tblCellMar>
            <w:top w:w="55" w:type="dxa"/>
            <w:left w:w="155" w:type="dxa"/>
            <w:bottom w:w="0" w:type="dxa"/>
            <w:right w:w="115" w:type="dxa"/>
          </w:tblCellMar>
        </w:tblPrEx>
        <w:trPr>
          <w:trHeight w:val="320" w:hRule="atLeast"/>
        </w:trPr>
        <w:tc>
          <w:tcPr>
            <w:tcW w:w="688" w:type="dxa"/>
            <w:tcBorders>
              <w:top w:val="single" w:color="000000" w:sz="4" w:space="0"/>
              <w:left w:val="single" w:color="000000" w:sz="4" w:space="0"/>
              <w:bottom w:val="single" w:color="000000" w:sz="4" w:space="0"/>
              <w:right w:val="single" w:color="000000" w:sz="4" w:space="0"/>
            </w:tcBorders>
          </w:tcPr>
          <w:p w14:paraId="4F74AEC2">
            <w:pPr>
              <w:adjustRightInd w:val="0"/>
              <w:spacing w:after="0" w:line="259" w:lineRule="auto"/>
              <w:ind w:left="0" w:firstLine="0"/>
              <w:rPr>
                <w:sz w:val="22"/>
                <w:szCs w:val="21"/>
              </w:rPr>
            </w:pPr>
            <w:r>
              <w:rPr>
                <w:rFonts w:hint="eastAsia"/>
                <w:sz w:val="22"/>
                <w:szCs w:val="21"/>
              </w:rPr>
              <w:t>1</w:t>
            </w:r>
          </w:p>
        </w:tc>
        <w:tc>
          <w:tcPr>
            <w:tcW w:w="2326" w:type="dxa"/>
            <w:tcBorders>
              <w:top w:val="single" w:color="000000" w:sz="4" w:space="0"/>
              <w:left w:val="single" w:color="000000" w:sz="4" w:space="0"/>
              <w:bottom w:val="single" w:color="000000" w:sz="4" w:space="0"/>
              <w:right w:val="single" w:color="000000" w:sz="4" w:space="0"/>
            </w:tcBorders>
          </w:tcPr>
          <w:p w14:paraId="4A6123D0">
            <w:pPr>
              <w:adjustRightInd w:val="0"/>
              <w:spacing w:after="0" w:line="259" w:lineRule="auto"/>
              <w:ind w:left="0" w:firstLine="0"/>
              <w:rPr>
                <w:sz w:val="22"/>
                <w:szCs w:val="21"/>
              </w:rPr>
            </w:pPr>
            <w:r>
              <w:rPr>
                <w:rFonts w:hint="eastAsia"/>
                <w:sz w:val="22"/>
                <w:szCs w:val="21"/>
              </w:rPr>
              <w:t>动力电池EMS系统与仿真</w:t>
            </w:r>
          </w:p>
        </w:tc>
        <w:tc>
          <w:tcPr>
            <w:tcW w:w="632" w:type="dxa"/>
            <w:tcBorders>
              <w:top w:val="single" w:color="000000" w:sz="4" w:space="0"/>
              <w:left w:val="single" w:color="000000" w:sz="4" w:space="0"/>
              <w:bottom w:val="single" w:color="000000" w:sz="4" w:space="0"/>
              <w:right w:val="single" w:color="000000" w:sz="4" w:space="0"/>
            </w:tcBorders>
          </w:tcPr>
          <w:p w14:paraId="0BA7CC84">
            <w:pPr>
              <w:adjustRightInd w:val="0"/>
              <w:spacing w:after="0" w:line="259" w:lineRule="auto"/>
              <w:ind w:left="0" w:firstLine="0"/>
              <w:jc w:val="center"/>
              <w:rPr>
                <w:sz w:val="22"/>
                <w:szCs w:val="21"/>
              </w:rPr>
            </w:pPr>
            <w:r>
              <w:rPr>
                <w:rFonts w:hint="eastAsia"/>
                <w:sz w:val="22"/>
                <w:szCs w:val="21"/>
              </w:rPr>
              <w:t>2</w:t>
            </w:r>
          </w:p>
        </w:tc>
        <w:tc>
          <w:tcPr>
            <w:tcW w:w="911" w:type="dxa"/>
            <w:tcBorders>
              <w:top w:val="single" w:color="000000" w:sz="4" w:space="0"/>
              <w:left w:val="single" w:color="000000" w:sz="4" w:space="0"/>
              <w:bottom w:val="single" w:color="000000" w:sz="4" w:space="0"/>
              <w:right w:val="single" w:color="000000" w:sz="4" w:space="0"/>
            </w:tcBorders>
          </w:tcPr>
          <w:p w14:paraId="3F5D9149">
            <w:pPr>
              <w:adjustRightInd w:val="0"/>
              <w:spacing w:after="0" w:line="259" w:lineRule="auto"/>
              <w:ind w:left="0" w:firstLine="0"/>
              <w:jc w:val="center"/>
              <w:rPr>
                <w:sz w:val="22"/>
                <w:szCs w:val="21"/>
              </w:rPr>
            </w:pPr>
            <w:r>
              <w:rPr>
                <w:rFonts w:hint="eastAsia"/>
                <w:sz w:val="22"/>
                <w:szCs w:val="21"/>
              </w:rPr>
              <w:t>36</w:t>
            </w:r>
          </w:p>
        </w:tc>
        <w:tc>
          <w:tcPr>
            <w:tcW w:w="1016" w:type="dxa"/>
            <w:tcBorders>
              <w:top w:val="single" w:color="000000" w:sz="4" w:space="0"/>
              <w:left w:val="single" w:color="000000" w:sz="4" w:space="0"/>
              <w:bottom w:val="single" w:color="000000" w:sz="4" w:space="0"/>
              <w:right w:val="single" w:color="000000" w:sz="4" w:space="0"/>
            </w:tcBorders>
          </w:tcPr>
          <w:p w14:paraId="039B733E">
            <w:pPr>
              <w:adjustRightInd w:val="0"/>
              <w:spacing w:after="0" w:line="259" w:lineRule="auto"/>
              <w:ind w:left="0" w:firstLine="0"/>
              <w:jc w:val="center"/>
              <w:rPr>
                <w:sz w:val="22"/>
                <w:szCs w:val="21"/>
              </w:rPr>
            </w:pPr>
            <w:r>
              <w:rPr>
                <w:sz w:val="22"/>
                <w:szCs w:val="21"/>
              </w:rPr>
              <w:t>18</w:t>
            </w:r>
          </w:p>
        </w:tc>
        <w:tc>
          <w:tcPr>
            <w:tcW w:w="1020" w:type="dxa"/>
            <w:tcBorders>
              <w:top w:val="single" w:color="000000" w:sz="4" w:space="0"/>
              <w:left w:val="single" w:color="000000" w:sz="4" w:space="0"/>
              <w:bottom w:val="single" w:color="000000" w:sz="4" w:space="0"/>
              <w:right w:val="single" w:color="000000" w:sz="4" w:space="0"/>
            </w:tcBorders>
          </w:tcPr>
          <w:p w14:paraId="7DA0BD34">
            <w:pPr>
              <w:adjustRightInd w:val="0"/>
              <w:spacing w:after="0" w:line="259" w:lineRule="auto"/>
              <w:ind w:left="0" w:firstLine="0"/>
              <w:jc w:val="center"/>
              <w:rPr>
                <w:sz w:val="22"/>
                <w:szCs w:val="21"/>
              </w:rPr>
            </w:pPr>
            <w:r>
              <w:rPr>
                <w:sz w:val="22"/>
                <w:szCs w:val="21"/>
              </w:rPr>
              <w:t>1</w:t>
            </w:r>
            <w:r>
              <w:rPr>
                <w:rFonts w:hint="eastAsia"/>
                <w:sz w:val="22"/>
                <w:szCs w:val="21"/>
              </w:rPr>
              <w:t>8</w:t>
            </w:r>
          </w:p>
        </w:tc>
        <w:tc>
          <w:tcPr>
            <w:tcW w:w="937" w:type="dxa"/>
            <w:tcBorders>
              <w:top w:val="single" w:color="000000" w:sz="4" w:space="0"/>
              <w:left w:val="single" w:color="000000" w:sz="4" w:space="0"/>
              <w:bottom w:val="single" w:color="000000" w:sz="4" w:space="0"/>
              <w:right w:val="single" w:color="000000" w:sz="4" w:space="0"/>
            </w:tcBorders>
          </w:tcPr>
          <w:p w14:paraId="1A877020">
            <w:pPr>
              <w:adjustRightInd w:val="0"/>
              <w:spacing w:after="0" w:line="259" w:lineRule="auto"/>
              <w:ind w:left="0" w:firstLine="0"/>
              <w:rPr>
                <w:sz w:val="22"/>
                <w:szCs w:val="21"/>
              </w:rPr>
            </w:pPr>
            <w:r>
              <w:rPr>
                <w:rFonts w:hint="eastAsia"/>
                <w:sz w:val="22"/>
                <w:szCs w:val="21"/>
              </w:rPr>
              <w:t>大作业</w:t>
            </w:r>
          </w:p>
        </w:tc>
        <w:tc>
          <w:tcPr>
            <w:tcW w:w="1016" w:type="dxa"/>
            <w:tcBorders>
              <w:top w:val="single" w:color="000000" w:sz="4" w:space="0"/>
              <w:left w:val="single" w:color="000000" w:sz="4" w:space="0"/>
              <w:bottom w:val="single" w:color="000000" w:sz="4" w:space="0"/>
              <w:right w:val="single" w:color="000000" w:sz="4" w:space="0"/>
            </w:tcBorders>
          </w:tcPr>
          <w:p w14:paraId="58E53565">
            <w:pPr>
              <w:adjustRightInd w:val="0"/>
              <w:spacing w:after="0" w:line="259" w:lineRule="auto"/>
              <w:ind w:left="0" w:firstLine="0"/>
              <w:jc w:val="center"/>
              <w:rPr>
                <w:sz w:val="22"/>
                <w:szCs w:val="21"/>
              </w:rPr>
            </w:pPr>
            <w:r>
              <w:rPr>
                <w:rFonts w:hint="eastAsia"/>
                <w:sz w:val="22"/>
                <w:szCs w:val="21"/>
              </w:rPr>
              <w:t>暑期</w:t>
            </w:r>
          </w:p>
        </w:tc>
      </w:tr>
      <w:tr w14:paraId="1A530350">
        <w:tblPrEx>
          <w:tblCellMar>
            <w:top w:w="55" w:type="dxa"/>
            <w:left w:w="155" w:type="dxa"/>
            <w:bottom w:w="0" w:type="dxa"/>
            <w:right w:w="115" w:type="dxa"/>
          </w:tblCellMar>
        </w:tblPrEx>
        <w:trPr>
          <w:trHeight w:val="322" w:hRule="atLeast"/>
        </w:trPr>
        <w:tc>
          <w:tcPr>
            <w:tcW w:w="688" w:type="dxa"/>
            <w:tcBorders>
              <w:top w:val="single" w:color="000000" w:sz="4" w:space="0"/>
              <w:left w:val="single" w:color="000000" w:sz="4" w:space="0"/>
              <w:bottom w:val="single" w:color="000000" w:sz="4" w:space="0"/>
              <w:right w:val="single" w:color="000000" w:sz="4" w:space="0"/>
            </w:tcBorders>
          </w:tcPr>
          <w:p w14:paraId="2B0D791B">
            <w:pPr>
              <w:adjustRightInd w:val="0"/>
              <w:spacing w:after="0" w:line="259" w:lineRule="auto"/>
              <w:ind w:left="0" w:firstLine="0"/>
              <w:rPr>
                <w:sz w:val="22"/>
                <w:szCs w:val="21"/>
              </w:rPr>
            </w:pPr>
            <w:r>
              <w:rPr>
                <w:rFonts w:hint="eastAsia"/>
                <w:sz w:val="22"/>
                <w:szCs w:val="21"/>
              </w:rPr>
              <w:t>2</w:t>
            </w:r>
          </w:p>
        </w:tc>
        <w:tc>
          <w:tcPr>
            <w:tcW w:w="2326" w:type="dxa"/>
            <w:tcBorders>
              <w:top w:val="single" w:color="000000" w:sz="4" w:space="0"/>
              <w:left w:val="single" w:color="000000" w:sz="4" w:space="0"/>
              <w:bottom w:val="single" w:color="000000" w:sz="4" w:space="0"/>
              <w:right w:val="single" w:color="000000" w:sz="4" w:space="0"/>
            </w:tcBorders>
          </w:tcPr>
          <w:p w14:paraId="3EEBC837">
            <w:pPr>
              <w:adjustRightInd w:val="0"/>
              <w:spacing w:after="0" w:line="259" w:lineRule="auto"/>
              <w:ind w:left="0" w:firstLine="0"/>
              <w:rPr>
                <w:sz w:val="22"/>
                <w:szCs w:val="21"/>
              </w:rPr>
            </w:pPr>
            <w:r>
              <w:rPr>
                <w:rFonts w:hint="eastAsia"/>
                <w:sz w:val="22"/>
                <w:szCs w:val="21"/>
              </w:rPr>
              <w:t>储能系统设计</w:t>
            </w:r>
          </w:p>
        </w:tc>
        <w:tc>
          <w:tcPr>
            <w:tcW w:w="632" w:type="dxa"/>
            <w:tcBorders>
              <w:top w:val="single" w:color="000000" w:sz="4" w:space="0"/>
              <w:left w:val="single" w:color="000000" w:sz="4" w:space="0"/>
              <w:bottom w:val="single" w:color="000000" w:sz="4" w:space="0"/>
              <w:right w:val="single" w:color="000000" w:sz="4" w:space="0"/>
            </w:tcBorders>
          </w:tcPr>
          <w:p w14:paraId="766CC3CA">
            <w:pPr>
              <w:adjustRightInd w:val="0"/>
              <w:spacing w:after="0" w:line="259" w:lineRule="auto"/>
              <w:ind w:left="0" w:firstLine="0"/>
              <w:jc w:val="center"/>
              <w:rPr>
                <w:sz w:val="22"/>
                <w:szCs w:val="21"/>
              </w:rPr>
            </w:pPr>
            <w:r>
              <w:rPr>
                <w:rFonts w:hint="eastAsia"/>
                <w:sz w:val="22"/>
                <w:szCs w:val="21"/>
              </w:rPr>
              <w:t>2</w:t>
            </w:r>
          </w:p>
        </w:tc>
        <w:tc>
          <w:tcPr>
            <w:tcW w:w="911" w:type="dxa"/>
            <w:tcBorders>
              <w:top w:val="single" w:color="000000" w:sz="4" w:space="0"/>
              <w:left w:val="single" w:color="000000" w:sz="4" w:space="0"/>
              <w:bottom w:val="single" w:color="000000" w:sz="4" w:space="0"/>
              <w:right w:val="single" w:color="000000" w:sz="4" w:space="0"/>
            </w:tcBorders>
          </w:tcPr>
          <w:p w14:paraId="45A0061B">
            <w:pPr>
              <w:adjustRightInd w:val="0"/>
              <w:spacing w:after="0" w:line="259" w:lineRule="auto"/>
              <w:ind w:left="0" w:firstLine="0"/>
              <w:jc w:val="center"/>
              <w:rPr>
                <w:sz w:val="22"/>
                <w:szCs w:val="21"/>
              </w:rPr>
            </w:pPr>
            <w:r>
              <w:rPr>
                <w:rFonts w:hint="eastAsia"/>
                <w:sz w:val="22"/>
                <w:szCs w:val="21"/>
              </w:rPr>
              <w:t>36</w:t>
            </w:r>
          </w:p>
        </w:tc>
        <w:tc>
          <w:tcPr>
            <w:tcW w:w="1016" w:type="dxa"/>
            <w:tcBorders>
              <w:top w:val="single" w:color="000000" w:sz="4" w:space="0"/>
              <w:left w:val="single" w:color="000000" w:sz="4" w:space="0"/>
              <w:bottom w:val="single" w:color="000000" w:sz="4" w:space="0"/>
              <w:right w:val="single" w:color="000000" w:sz="4" w:space="0"/>
            </w:tcBorders>
            <w:vAlign w:val="center"/>
          </w:tcPr>
          <w:p w14:paraId="27171F0A">
            <w:pPr>
              <w:adjustRightInd w:val="0"/>
              <w:spacing w:after="0" w:line="259" w:lineRule="auto"/>
              <w:ind w:left="0" w:firstLine="0"/>
              <w:jc w:val="center"/>
              <w:rPr>
                <w:sz w:val="22"/>
                <w:szCs w:val="21"/>
              </w:rPr>
            </w:pPr>
            <w:r>
              <w:rPr>
                <w:rFonts w:hint="eastAsia"/>
                <w:sz w:val="22"/>
                <w:szCs w:val="21"/>
              </w:rPr>
              <w:t>18</w:t>
            </w:r>
          </w:p>
        </w:tc>
        <w:tc>
          <w:tcPr>
            <w:tcW w:w="1020" w:type="dxa"/>
            <w:tcBorders>
              <w:top w:val="single" w:color="000000" w:sz="4" w:space="0"/>
              <w:left w:val="single" w:color="000000" w:sz="4" w:space="0"/>
              <w:bottom w:val="single" w:color="000000" w:sz="4" w:space="0"/>
              <w:right w:val="single" w:color="000000" w:sz="4" w:space="0"/>
            </w:tcBorders>
            <w:vAlign w:val="center"/>
          </w:tcPr>
          <w:p w14:paraId="3D0E8552">
            <w:pPr>
              <w:adjustRightInd w:val="0"/>
              <w:spacing w:after="0" w:line="259" w:lineRule="auto"/>
              <w:ind w:left="0" w:firstLine="0"/>
              <w:jc w:val="center"/>
              <w:rPr>
                <w:sz w:val="22"/>
                <w:szCs w:val="21"/>
              </w:rPr>
            </w:pPr>
            <w:r>
              <w:rPr>
                <w:rFonts w:hint="eastAsia"/>
                <w:sz w:val="22"/>
                <w:szCs w:val="21"/>
              </w:rPr>
              <w:t>18</w:t>
            </w:r>
          </w:p>
        </w:tc>
        <w:tc>
          <w:tcPr>
            <w:tcW w:w="937" w:type="dxa"/>
            <w:tcBorders>
              <w:top w:val="single" w:color="000000" w:sz="4" w:space="0"/>
              <w:left w:val="single" w:color="000000" w:sz="4" w:space="0"/>
              <w:bottom w:val="single" w:color="000000" w:sz="4" w:space="0"/>
              <w:right w:val="single" w:color="000000" w:sz="4" w:space="0"/>
            </w:tcBorders>
            <w:vAlign w:val="center"/>
          </w:tcPr>
          <w:p w14:paraId="711D6797">
            <w:pPr>
              <w:adjustRightInd w:val="0"/>
              <w:spacing w:after="0" w:line="259" w:lineRule="auto"/>
              <w:ind w:left="0" w:firstLine="0"/>
              <w:rPr>
                <w:sz w:val="22"/>
                <w:szCs w:val="21"/>
              </w:rPr>
            </w:pPr>
            <w:r>
              <w:rPr>
                <w:rFonts w:hint="eastAsia"/>
                <w:sz w:val="22"/>
                <w:szCs w:val="21"/>
              </w:rPr>
              <w:t>大作业</w:t>
            </w:r>
          </w:p>
        </w:tc>
        <w:tc>
          <w:tcPr>
            <w:tcW w:w="1016" w:type="dxa"/>
            <w:tcBorders>
              <w:top w:val="single" w:color="000000" w:sz="4" w:space="0"/>
              <w:left w:val="single" w:color="000000" w:sz="4" w:space="0"/>
              <w:bottom w:val="single" w:color="000000" w:sz="4" w:space="0"/>
              <w:right w:val="single" w:color="000000" w:sz="4" w:space="0"/>
            </w:tcBorders>
          </w:tcPr>
          <w:p w14:paraId="101BECAB">
            <w:pPr>
              <w:adjustRightInd w:val="0"/>
              <w:spacing w:after="0" w:line="259" w:lineRule="auto"/>
              <w:ind w:left="0" w:firstLine="0"/>
              <w:jc w:val="center"/>
              <w:rPr>
                <w:sz w:val="22"/>
                <w:szCs w:val="21"/>
              </w:rPr>
            </w:pPr>
            <w:r>
              <w:rPr>
                <w:rFonts w:hint="eastAsia"/>
                <w:sz w:val="22"/>
                <w:szCs w:val="21"/>
              </w:rPr>
              <w:t>暑期</w:t>
            </w:r>
          </w:p>
        </w:tc>
      </w:tr>
      <w:tr w14:paraId="4B8B6C71">
        <w:tblPrEx>
          <w:tblCellMar>
            <w:top w:w="55" w:type="dxa"/>
            <w:left w:w="155" w:type="dxa"/>
            <w:bottom w:w="0" w:type="dxa"/>
            <w:right w:w="115" w:type="dxa"/>
          </w:tblCellMar>
        </w:tblPrEx>
        <w:trPr>
          <w:trHeight w:val="337" w:hRule="atLeast"/>
        </w:trPr>
        <w:tc>
          <w:tcPr>
            <w:tcW w:w="688" w:type="dxa"/>
            <w:tcBorders>
              <w:top w:val="single" w:color="000000" w:sz="4" w:space="0"/>
              <w:left w:val="single" w:color="000000" w:sz="4" w:space="0"/>
              <w:bottom w:val="single" w:color="000000" w:sz="4" w:space="0"/>
              <w:right w:val="single" w:color="000000" w:sz="4" w:space="0"/>
            </w:tcBorders>
          </w:tcPr>
          <w:p w14:paraId="7DB2C776">
            <w:pPr>
              <w:adjustRightInd w:val="0"/>
              <w:spacing w:after="0" w:line="259" w:lineRule="auto"/>
              <w:ind w:left="0" w:firstLine="0"/>
              <w:rPr>
                <w:sz w:val="22"/>
                <w:szCs w:val="21"/>
              </w:rPr>
            </w:pPr>
            <w:r>
              <w:rPr>
                <w:rFonts w:hint="eastAsia"/>
                <w:sz w:val="22"/>
                <w:szCs w:val="21"/>
              </w:rPr>
              <w:t>3</w:t>
            </w:r>
          </w:p>
        </w:tc>
        <w:tc>
          <w:tcPr>
            <w:tcW w:w="2326" w:type="dxa"/>
            <w:tcBorders>
              <w:top w:val="single" w:color="000000" w:sz="4" w:space="0"/>
              <w:left w:val="single" w:color="000000" w:sz="4" w:space="0"/>
              <w:bottom w:val="single" w:color="000000" w:sz="4" w:space="0"/>
              <w:right w:val="single" w:color="000000" w:sz="4" w:space="0"/>
            </w:tcBorders>
          </w:tcPr>
          <w:p w14:paraId="4E9AEAEF">
            <w:pPr>
              <w:adjustRightInd w:val="0"/>
              <w:spacing w:after="0" w:line="259" w:lineRule="auto"/>
              <w:ind w:left="0" w:firstLine="0"/>
              <w:rPr>
                <w:sz w:val="22"/>
                <w:szCs w:val="21"/>
              </w:rPr>
            </w:pPr>
            <w:r>
              <w:rPr>
                <w:rFonts w:hint="eastAsia"/>
                <w:sz w:val="22"/>
                <w:szCs w:val="21"/>
              </w:rPr>
              <w:t>氢能与燃料电池技术</w:t>
            </w:r>
          </w:p>
        </w:tc>
        <w:tc>
          <w:tcPr>
            <w:tcW w:w="632" w:type="dxa"/>
            <w:tcBorders>
              <w:top w:val="single" w:color="000000" w:sz="4" w:space="0"/>
              <w:left w:val="single" w:color="000000" w:sz="4" w:space="0"/>
              <w:bottom w:val="single" w:color="000000" w:sz="4" w:space="0"/>
              <w:right w:val="single" w:color="000000" w:sz="4" w:space="0"/>
            </w:tcBorders>
          </w:tcPr>
          <w:p w14:paraId="2833B069">
            <w:pPr>
              <w:adjustRightInd w:val="0"/>
              <w:spacing w:after="0" w:line="259" w:lineRule="auto"/>
              <w:ind w:left="0" w:firstLine="0"/>
              <w:jc w:val="center"/>
              <w:rPr>
                <w:sz w:val="22"/>
                <w:szCs w:val="21"/>
              </w:rPr>
            </w:pPr>
            <w:r>
              <w:rPr>
                <w:rFonts w:hint="eastAsia"/>
                <w:sz w:val="22"/>
                <w:szCs w:val="21"/>
              </w:rPr>
              <w:t>2</w:t>
            </w:r>
          </w:p>
        </w:tc>
        <w:tc>
          <w:tcPr>
            <w:tcW w:w="911" w:type="dxa"/>
            <w:tcBorders>
              <w:top w:val="single" w:color="000000" w:sz="4" w:space="0"/>
              <w:left w:val="single" w:color="000000" w:sz="4" w:space="0"/>
              <w:bottom w:val="single" w:color="000000" w:sz="4" w:space="0"/>
              <w:right w:val="single" w:color="000000" w:sz="4" w:space="0"/>
            </w:tcBorders>
          </w:tcPr>
          <w:p w14:paraId="620380F6">
            <w:pPr>
              <w:adjustRightInd w:val="0"/>
              <w:spacing w:after="0" w:line="259" w:lineRule="auto"/>
              <w:ind w:left="0" w:firstLine="0"/>
              <w:jc w:val="center"/>
              <w:rPr>
                <w:sz w:val="22"/>
                <w:szCs w:val="21"/>
              </w:rPr>
            </w:pPr>
            <w:r>
              <w:rPr>
                <w:rFonts w:hint="eastAsia"/>
                <w:sz w:val="22"/>
                <w:szCs w:val="21"/>
              </w:rPr>
              <w:t>36</w:t>
            </w:r>
          </w:p>
        </w:tc>
        <w:tc>
          <w:tcPr>
            <w:tcW w:w="1016" w:type="dxa"/>
            <w:tcBorders>
              <w:top w:val="single" w:color="000000" w:sz="4" w:space="0"/>
              <w:left w:val="single" w:color="000000" w:sz="4" w:space="0"/>
              <w:bottom w:val="single" w:color="000000" w:sz="4" w:space="0"/>
              <w:right w:val="single" w:color="000000" w:sz="4" w:space="0"/>
            </w:tcBorders>
          </w:tcPr>
          <w:p w14:paraId="3B774EE2">
            <w:pPr>
              <w:adjustRightInd w:val="0"/>
              <w:spacing w:after="0" w:line="259" w:lineRule="auto"/>
              <w:ind w:left="0" w:firstLine="0"/>
              <w:jc w:val="center"/>
              <w:rPr>
                <w:sz w:val="22"/>
                <w:szCs w:val="21"/>
              </w:rPr>
            </w:pPr>
            <w:r>
              <w:rPr>
                <w:rFonts w:hint="eastAsia"/>
                <w:sz w:val="22"/>
                <w:szCs w:val="21"/>
              </w:rPr>
              <w:t>18</w:t>
            </w:r>
          </w:p>
        </w:tc>
        <w:tc>
          <w:tcPr>
            <w:tcW w:w="1020" w:type="dxa"/>
            <w:tcBorders>
              <w:top w:val="single" w:color="000000" w:sz="4" w:space="0"/>
              <w:left w:val="single" w:color="000000" w:sz="4" w:space="0"/>
              <w:bottom w:val="single" w:color="000000" w:sz="4" w:space="0"/>
              <w:right w:val="single" w:color="000000" w:sz="4" w:space="0"/>
            </w:tcBorders>
          </w:tcPr>
          <w:p w14:paraId="6B1A150E">
            <w:pPr>
              <w:adjustRightInd w:val="0"/>
              <w:spacing w:after="0" w:line="259" w:lineRule="auto"/>
              <w:ind w:left="0" w:firstLine="0"/>
              <w:jc w:val="center"/>
              <w:rPr>
                <w:sz w:val="22"/>
                <w:szCs w:val="21"/>
              </w:rPr>
            </w:pPr>
            <w:r>
              <w:rPr>
                <w:rFonts w:hint="eastAsia"/>
                <w:sz w:val="22"/>
                <w:szCs w:val="21"/>
              </w:rPr>
              <w:t>18</w:t>
            </w:r>
          </w:p>
        </w:tc>
        <w:tc>
          <w:tcPr>
            <w:tcW w:w="937" w:type="dxa"/>
            <w:tcBorders>
              <w:top w:val="single" w:color="000000" w:sz="4" w:space="0"/>
              <w:left w:val="single" w:color="000000" w:sz="4" w:space="0"/>
              <w:bottom w:val="single" w:color="000000" w:sz="4" w:space="0"/>
              <w:right w:val="single" w:color="000000" w:sz="4" w:space="0"/>
            </w:tcBorders>
          </w:tcPr>
          <w:p w14:paraId="62A6BBEF">
            <w:pPr>
              <w:adjustRightInd w:val="0"/>
              <w:spacing w:after="0" w:line="259" w:lineRule="auto"/>
              <w:ind w:left="0" w:firstLine="0"/>
              <w:rPr>
                <w:sz w:val="22"/>
                <w:szCs w:val="21"/>
              </w:rPr>
            </w:pPr>
            <w:r>
              <w:rPr>
                <w:rFonts w:hint="eastAsia"/>
                <w:sz w:val="22"/>
                <w:szCs w:val="21"/>
              </w:rPr>
              <w:t>考察</w:t>
            </w:r>
          </w:p>
        </w:tc>
        <w:tc>
          <w:tcPr>
            <w:tcW w:w="1016" w:type="dxa"/>
            <w:tcBorders>
              <w:top w:val="single" w:color="000000" w:sz="4" w:space="0"/>
              <w:left w:val="single" w:color="000000" w:sz="4" w:space="0"/>
              <w:bottom w:val="single" w:color="000000" w:sz="4" w:space="0"/>
              <w:right w:val="single" w:color="000000" w:sz="4" w:space="0"/>
            </w:tcBorders>
          </w:tcPr>
          <w:p w14:paraId="3184B7C9">
            <w:pPr>
              <w:adjustRightInd w:val="0"/>
              <w:spacing w:after="0" w:line="259" w:lineRule="auto"/>
              <w:ind w:left="0" w:firstLine="0"/>
              <w:jc w:val="center"/>
              <w:rPr>
                <w:sz w:val="22"/>
                <w:szCs w:val="21"/>
              </w:rPr>
            </w:pPr>
            <w:r>
              <w:rPr>
                <w:rFonts w:hint="eastAsia"/>
                <w:sz w:val="22"/>
                <w:szCs w:val="21"/>
              </w:rPr>
              <w:t>暑期</w:t>
            </w:r>
          </w:p>
        </w:tc>
      </w:tr>
      <w:tr w14:paraId="5B747408">
        <w:tblPrEx>
          <w:tblCellMar>
            <w:top w:w="55" w:type="dxa"/>
            <w:left w:w="155" w:type="dxa"/>
            <w:bottom w:w="0" w:type="dxa"/>
            <w:right w:w="115" w:type="dxa"/>
          </w:tblCellMar>
        </w:tblPrEx>
        <w:trPr>
          <w:trHeight w:val="357" w:hRule="atLeast"/>
        </w:trPr>
        <w:tc>
          <w:tcPr>
            <w:tcW w:w="688" w:type="dxa"/>
            <w:tcBorders>
              <w:top w:val="single" w:color="000000" w:sz="4" w:space="0"/>
              <w:left w:val="single" w:color="000000" w:sz="4" w:space="0"/>
              <w:bottom w:val="single" w:color="000000" w:sz="4" w:space="0"/>
              <w:right w:val="single" w:color="000000" w:sz="4" w:space="0"/>
            </w:tcBorders>
          </w:tcPr>
          <w:p w14:paraId="3ECBFD66">
            <w:pPr>
              <w:adjustRightInd w:val="0"/>
              <w:spacing w:after="0" w:line="259" w:lineRule="auto"/>
              <w:ind w:left="0" w:firstLine="0"/>
              <w:rPr>
                <w:sz w:val="22"/>
                <w:szCs w:val="21"/>
              </w:rPr>
            </w:pPr>
            <w:r>
              <w:rPr>
                <w:rFonts w:hint="eastAsia"/>
                <w:sz w:val="22"/>
                <w:szCs w:val="21"/>
              </w:rPr>
              <w:t>4</w:t>
            </w:r>
          </w:p>
        </w:tc>
        <w:tc>
          <w:tcPr>
            <w:tcW w:w="2326" w:type="dxa"/>
            <w:tcBorders>
              <w:top w:val="single" w:color="000000" w:sz="4" w:space="0"/>
              <w:left w:val="single" w:color="000000" w:sz="4" w:space="0"/>
              <w:bottom w:val="single" w:color="000000" w:sz="4" w:space="0"/>
              <w:right w:val="single" w:color="000000" w:sz="4" w:space="0"/>
            </w:tcBorders>
          </w:tcPr>
          <w:p w14:paraId="32C4FD6F">
            <w:pPr>
              <w:adjustRightInd w:val="0"/>
              <w:spacing w:after="0" w:line="259" w:lineRule="auto"/>
              <w:ind w:left="0" w:firstLine="0"/>
              <w:rPr>
                <w:sz w:val="22"/>
                <w:szCs w:val="21"/>
              </w:rPr>
            </w:pPr>
            <w:r>
              <w:rPr>
                <w:rFonts w:hint="eastAsia"/>
                <w:sz w:val="22"/>
                <w:szCs w:val="21"/>
              </w:rPr>
              <w:t>电化学测试方法</w:t>
            </w:r>
          </w:p>
        </w:tc>
        <w:tc>
          <w:tcPr>
            <w:tcW w:w="632" w:type="dxa"/>
            <w:tcBorders>
              <w:top w:val="single" w:color="000000" w:sz="4" w:space="0"/>
              <w:left w:val="single" w:color="000000" w:sz="4" w:space="0"/>
              <w:bottom w:val="single" w:color="000000" w:sz="4" w:space="0"/>
              <w:right w:val="single" w:color="000000" w:sz="4" w:space="0"/>
            </w:tcBorders>
          </w:tcPr>
          <w:p w14:paraId="4A3B5AD3">
            <w:pPr>
              <w:adjustRightInd w:val="0"/>
              <w:spacing w:after="0" w:line="259" w:lineRule="auto"/>
              <w:ind w:left="0" w:firstLine="0"/>
              <w:jc w:val="center"/>
              <w:rPr>
                <w:sz w:val="22"/>
                <w:szCs w:val="21"/>
              </w:rPr>
            </w:pPr>
            <w:r>
              <w:rPr>
                <w:rFonts w:hint="eastAsia"/>
                <w:sz w:val="22"/>
                <w:szCs w:val="21"/>
              </w:rPr>
              <w:t>1</w:t>
            </w:r>
          </w:p>
        </w:tc>
        <w:tc>
          <w:tcPr>
            <w:tcW w:w="911" w:type="dxa"/>
            <w:tcBorders>
              <w:top w:val="single" w:color="000000" w:sz="4" w:space="0"/>
              <w:left w:val="single" w:color="000000" w:sz="4" w:space="0"/>
              <w:bottom w:val="single" w:color="000000" w:sz="4" w:space="0"/>
              <w:right w:val="single" w:color="000000" w:sz="4" w:space="0"/>
            </w:tcBorders>
          </w:tcPr>
          <w:p w14:paraId="62181FC6">
            <w:pPr>
              <w:adjustRightInd w:val="0"/>
              <w:spacing w:after="0" w:line="259" w:lineRule="auto"/>
              <w:ind w:left="0" w:firstLine="0"/>
              <w:jc w:val="center"/>
              <w:rPr>
                <w:sz w:val="22"/>
                <w:szCs w:val="21"/>
              </w:rPr>
            </w:pPr>
            <w:r>
              <w:rPr>
                <w:rFonts w:hint="eastAsia"/>
                <w:sz w:val="22"/>
                <w:szCs w:val="21"/>
              </w:rPr>
              <w:t>18</w:t>
            </w:r>
          </w:p>
        </w:tc>
        <w:tc>
          <w:tcPr>
            <w:tcW w:w="1016" w:type="dxa"/>
            <w:tcBorders>
              <w:top w:val="single" w:color="000000" w:sz="4" w:space="0"/>
              <w:left w:val="single" w:color="000000" w:sz="4" w:space="0"/>
              <w:bottom w:val="single" w:color="000000" w:sz="4" w:space="0"/>
              <w:right w:val="single" w:color="000000" w:sz="4" w:space="0"/>
            </w:tcBorders>
            <w:vAlign w:val="center"/>
          </w:tcPr>
          <w:p w14:paraId="5287E7F0">
            <w:pPr>
              <w:adjustRightInd w:val="0"/>
              <w:spacing w:after="0" w:line="259" w:lineRule="auto"/>
              <w:ind w:left="0" w:firstLine="0"/>
              <w:jc w:val="center"/>
              <w:rPr>
                <w:sz w:val="22"/>
                <w:szCs w:val="21"/>
              </w:rPr>
            </w:pPr>
            <w:r>
              <w:rPr>
                <w:rFonts w:hint="eastAsia"/>
                <w:sz w:val="22"/>
                <w:szCs w:val="21"/>
              </w:rPr>
              <w:t>4</w:t>
            </w:r>
          </w:p>
        </w:tc>
        <w:tc>
          <w:tcPr>
            <w:tcW w:w="1020" w:type="dxa"/>
            <w:tcBorders>
              <w:top w:val="single" w:color="000000" w:sz="4" w:space="0"/>
              <w:left w:val="single" w:color="000000" w:sz="4" w:space="0"/>
              <w:bottom w:val="single" w:color="000000" w:sz="4" w:space="0"/>
              <w:right w:val="single" w:color="000000" w:sz="4" w:space="0"/>
            </w:tcBorders>
            <w:vAlign w:val="center"/>
          </w:tcPr>
          <w:p w14:paraId="42D9C970">
            <w:pPr>
              <w:adjustRightInd w:val="0"/>
              <w:spacing w:after="0" w:line="259" w:lineRule="auto"/>
              <w:ind w:left="0" w:firstLine="0"/>
              <w:jc w:val="center"/>
              <w:rPr>
                <w:sz w:val="22"/>
                <w:szCs w:val="21"/>
              </w:rPr>
            </w:pPr>
            <w:r>
              <w:rPr>
                <w:rFonts w:hint="eastAsia"/>
                <w:sz w:val="22"/>
                <w:szCs w:val="21"/>
              </w:rPr>
              <w:t>14</w:t>
            </w:r>
          </w:p>
        </w:tc>
        <w:tc>
          <w:tcPr>
            <w:tcW w:w="937" w:type="dxa"/>
            <w:tcBorders>
              <w:top w:val="single" w:color="000000" w:sz="4" w:space="0"/>
              <w:left w:val="single" w:color="000000" w:sz="4" w:space="0"/>
              <w:bottom w:val="single" w:color="000000" w:sz="4" w:space="0"/>
              <w:right w:val="single" w:color="000000" w:sz="4" w:space="0"/>
            </w:tcBorders>
            <w:vAlign w:val="center"/>
          </w:tcPr>
          <w:p w14:paraId="3811B311">
            <w:pPr>
              <w:adjustRightInd w:val="0"/>
              <w:spacing w:after="0" w:line="259" w:lineRule="auto"/>
              <w:ind w:left="0" w:firstLine="0"/>
              <w:rPr>
                <w:sz w:val="22"/>
                <w:szCs w:val="21"/>
              </w:rPr>
            </w:pPr>
            <w:r>
              <w:rPr>
                <w:rFonts w:hint="eastAsia"/>
                <w:sz w:val="22"/>
                <w:szCs w:val="21"/>
              </w:rPr>
              <w:t>报告</w:t>
            </w:r>
          </w:p>
        </w:tc>
        <w:tc>
          <w:tcPr>
            <w:tcW w:w="1016" w:type="dxa"/>
            <w:tcBorders>
              <w:top w:val="single" w:color="000000" w:sz="4" w:space="0"/>
              <w:left w:val="single" w:color="000000" w:sz="4" w:space="0"/>
              <w:bottom w:val="single" w:color="000000" w:sz="4" w:space="0"/>
              <w:right w:val="single" w:color="000000" w:sz="4" w:space="0"/>
            </w:tcBorders>
          </w:tcPr>
          <w:p w14:paraId="1A0F63CD">
            <w:pPr>
              <w:adjustRightInd w:val="0"/>
              <w:spacing w:after="0" w:line="259" w:lineRule="auto"/>
              <w:ind w:left="0" w:firstLine="0"/>
              <w:jc w:val="center"/>
              <w:rPr>
                <w:sz w:val="22"/>
                <w:szCs w:val="21"/>
              </w:rPr>
            </w:pPr>
            <w:r>
              <w:rPr>
                <w:rFonts w:hint="eastAsia"/>
                <w:sz w:val="22"/>
                <w:szCs w:val="21"/>
              </w:rPr>
              <w:t>暑期</w:t>
            </w:r>
          </w:p>
        </w:tc>
      </w:tr>
      <w:tr w14:paraId="5553B505">
        <w:tblPrEx>
          <w:tblCellMar>
            <w:top w:w="55" w:type="dxa"/>
            <w:left w:w="155" w:type="dxa"/>
            <w:bottom w:w="0" w:type="dxa"/>
            <w:right w:w="115" w:type="dxa"/>
          </w:tblCellMar>
        </w:tblPrEx>
        <w:trPr>
          <w:trHeight w:val="363" w:hRule="atLeast"/>
        </w:trPr>
        <w:tc>
          <w:tcPr>
            <w:tcW w:w="688" w:type="dxa"/>
            <w:tcBorders>
              <w:top w:val="single" w:color="000000" w:sz="4" w:space="0"/>
              <w:left w:val="single" w:color="000000" w:sz="4" w:space="0"/>
              <w:bottom w:val="single" w:color="000000" w:sz="4" w:space="0"/>
              <w:right w:val="single" w:color="000000" w:sz="4" w:space="0"/>
            </w:tcBorders>
          </w:tcPr>
          <w:p w14:paraId="1D943877">
            <w:pPr>
              <w:adjustRightInd w:val="0"/>
              <w:spacing w:after="0" w:line="259" w:lineRule="auto"/>
              <w:ind w:left="0" w:firstLine="0"/>
              <w:rPr>
                <w:sz w:val="22"/>
                <w:szCs w:val="21"/>
              </w:rPr>
            </w:pPr>
            <w:r>
              <w:rPr>
                <w:rFonts w:hint="eastAsia"/>
                <w:sz w:val="22"/>
                <w:szCs w:val="21"/>
              </w:rPr>
              <w:t>5</w:t>
            </w:r>
          </w:p>
        </w:tc>
        <w:tc>
          <w:tcPr>
            <w:tcW w:w="2326" w:type="dxa"/>
            <w:tcBorders>
              <w:top w:val="single" w:color="000000" w:sz="4" w:space="0"/>
              <w:left w:val="single" w:color="000000" w:sz="4" w:space="0"/>
              <w:bottom w:val="single" w:color="000000" w:sz="4" w:space="0"/>
              <w:right w:val="single" w:color="000000" w:sz="4" w:space="0"/>
            </w:tcBorders>
          </w:tcPr>
          <w:p w14:paraId="5A46F3BD">
            <w:pPr>
              <w:adjustRightInd w:val="0"/>
              <w:spacing w:after="0" w:line="259" w:lineRule="auto"/>
              <w:ind w:left="0" w:firstLine="0"/>
              <w:rPr>
                <w:sz w:val="22"/>
                <w:szCs w:val="21"/>
              </w:rPr>
            </w:pPr>
            <w:r>
              <w:rPr>
                <w:rFonts w:hint="eastAsia"/>
                <w:sz w:val="22"/>
                <w:szCs w:val="21"/>
              </w:rPr>
              <w:t>新型储能电池</w:t>
            </w:r>
          </w:p>
        </w:tc>
        <w:tc>
          <w:tcPr>
            <w:tcW w:w="632" w:type="dxa"/>
            <w:tcBorders>
              <w:top w:val="single" w:color="000000" w:sz="4" w:space="0"/>
              <w:left w:val="single" w:color="000000" w:sz="4" w:space="0"/>
              <w:bottom w:val="single" w:color="000000" w:sz="4" w:space="0"/>
              <w:right w:val="single" w:color="000000" w:sz="4" w:space="0"/>
            </w:tcBorders>
          </w:tcPr>
          <w:p w14:paraId="6F017093">
            <w:pPr>
              <w:adjustRightInd w:val="0"/>
              <w:spacing w:after="0" w:line="259" w:lineRule="auto"/>
              <w:ind w:left="0" w:firstLine="0"/>
              <w:jc w:val="center"/>
              <w:rPr>
                <w:sz w:val="22"/>
                <w:szCs w:val="21"/>
              </w:rPr>
            </w:pPr>
            <w:r>
              <w:rPr>
                <w:rFonts w:hint="eastAsia"/>
                <w:sz w:val="22"/>
                <w:szCs w:val="21"/>
              </w:rPr>
              <w:t>1</w:t>
            </w:r>
          </w:p>
        </w:tc>
        <w:tc>
          <w:tcPr>
            <w:tcW w:w="911" w:type="dxa"/>
            <w:tcBorders>
              <w:top w:val="single" w:color="000000" w:sz="4" w:space="0"/>
              <w:left w:val="single" w:color="000000" w:sz="4" w:space="0"/>
              <w:bottom w:val="single" w:color="000000" w:sz="4" w:space="0"/>
              <w:right w:val="single" w:color="000000" w:sz="4" w:space="0"/>
            </w:tcBorders>
          </w:tcPr>
          <w:p w14:paraId="2548AC38">
            <w:pPr>
              <w:adjustRightInd w:val="0"/>
              <w:spacing w:after="0" w:line="259" w:lineRule="auto"/>
              <w:ind w:left="0" w:firstLine="0"/>
              <w:jc w:val="center"/>
              <w:rPr>
                <w:sz w:val="22"/>
                <w:szCs w:val="21"/>
              </w:rPr>
            </w:pPr>
            <w:r>
              <w:rPr>
                <w:rFonts w:hint="eastAsia"/>
                <w:sz w:val="22"/>
                <w:szCs w:val="21"/>
              </w:rPr>
              <w:t>18</w:t>
            </w:r>
          </w:p>
        </w:tc>
        <w:tc>
          <w:tcPr>
            <w:tcW w:w="1016" w:type="dxa"/>
            <w:tcBorders>
              <w:top w:val="single" w:color="000000" w:sz="4" w:space="0"/>
              <w:left w:val="single" w:color="000000" w:sz="4" w:space="0"/>
              <w:bottom w:val="single" w:color="000000" w:sz="4" w:space="0"/>
              <w:right w:val="single" w:color="000000" w:sz="4" w:space="0"/>
            </w:tcBorders>
            <w:vAlign w:val="center"/>
          </w:tcPr>
          <w:p w14:paraId="70039AB6">
            <w:pPr>
              <w:adjustRightInd w:val="0"/>
              <w:spacing w:after="0" w:line="259" w:lineRule="auto"/>
              <w:ind w:left="0" w:firstLine="0"/>
              <w:jc w:val="center"/>
              <w:rPr>
                <w:sz w:val="22"/>
                <w:szCs w:val="21"/>
              </w:rPr>
            </w:pPr>
            <w:r>
              <w:rPr>
                <w:rFonts w:hint="eastAsia"/>
                <w:sz w:val="22"/>
                <w:szCs w:val="21"/>
              </w:rPr>
              <w:t>9</w:t>
            </w:r>
          </w:p>
        </w:tc>
        <w:tc>
          <w:tcPr>
            <w:tcW w:w="1020" w:type="dxa"/>
            <w:tcBorders>
              <w:top w:val="single" w:color="000000" w:sz="4" w:space="0"/>
              <w:left w:val="single" w:color="000000" w:sz="4" w:space="0"/>
              <w:bottom w:val="single" w:color="000000" w:sz="4" w:space="0"/>
              <w:right w:val="single" w:color="000000" w:sz="4" w:space="0"/>
            </w:tcBorders>
            <w:vAlign w:val="center"/>
          </w:tcPr>
          <w:p w14:paraId="55532510">
            <w:pPr>
              <w:adjustRightInd w:val="0"/>
              <w:spacing w:after="0" w:line="259" w:lineRule="auto"/>
              <w:ind w:left="0" w:firstLine="0"/>
              <w:jc w:val="center"/>
              <w:rPr>
                <w:sz w:val="22"/>
                <w:szCs w:val="21"/>
              </w:rPr>
            </w:pPr>
            <w:r>
              <w:rPr>
                <w:rFonts w:hint="eastAsia"/>
                <w:sz w:val="22"/>
                <w:szCs w:val="21"/>
              </w:rPr>
              <w:t>9</w:t>
            </w:r>
          </w:p>
        </w:tc>
        <w:tc>
          <w:tcPr>
            <w:tcW w:w="937" w:type="dxa"/>
            <w:tcBorders>
              <w:top w:val="single" w:color="000000" w:sz="4" w:space="0"/>
              <w:left w:val="single" w:color="000000" w:sz="4" w:space="0"/>
              <w:bottom w:val="single" w:color="000000" w:sz="4" w:space="0"/>
              <w:right w:val="single" w:color="000000" w:sz="4" w:space="0"/>
            </w:tcBorders>
            <w:vAlign w:val="center"/>
          </w:tcPr>
          <w:p w14:paraId="71C1B4D8">
            <w:pPr>
              <w:adjustRightInd w:val="0"/>
              <w:spacing w:after="0" w:line="259" w:lineRule="auto"/>
              <w:ind w:left="0" w:firstLine="0"/>
              <w:rPr>
                <w:sz w:val="22"/>
                <w:szCs w:val="21"/>
              </w:rPr>
            </w:pPr>
            <w:r>
              <w:rPr>
                <w:rFonts w:hint="eastAsia"/>
                <w:sz w:val="22"/>
                <w:szCs w:val="21"/>
              </w:rPr>
              <w:t>考察</w:t>
            </w:r>
          </w:p>
        </w:tc>
        <w:tc>
          <w:tcPr>
            <w:tcW w:w="1016" w:type="dxa"/>
            <w:tcBorders>
              <w:top w:val="single" w:color="000000" w:sz="4" w:space="0"/>
              <w:left w:val="single" w:color="000000" w:sz="4" w:space="0"/>
              <w:bottom w:val="single" w:color="000000" w:sz="4" w:space="0"/>
              <w:right w:val="single" w:color="000000" w:sz="4" w:space="0"/>
            </w:tcBorders>
          </w:tcPr>
          <w:p w14:paraId="2F43C119">
            <w:pPr>
              <w:adjustRightInd w:val="0"/>
              <w:spacing w:after="0" w:line="259" w:lineRule="auto"/>
              <w:ind w:left="0" w:firstLine="0"/>
              <w:jc w:val="center"/>
              <w:rPr>
                <w:sz w:val="22"/>
                <w:szCs w:val="21"/>
              </w:rPr>
            </w:pPr>
            <w:r>
              <w:rPr>
                <w:rFonts w:hint="eastAsia"/>
                <w:sz w:val="22"/>
                <w:szCs w:val="21"/>
              </w:rPr>
              <w:t>暑期</w:t>
            </w:r>
          </w:p>
        </w:tc>
      </w:tr>
      <w:tr w14:paraId="446D730E">
        <w:tblPrEx>
          <w:tblCellMar>
            <w:top w:w="55" w:type="dxa"/>
            <w:left w:w="155" w:type="dxa"/>
            <w:bottom w:w="0" w:type="dxa"/>
            <w:right w:w="115" w:type="dxa"/>
          </w:tblCellMar>
        </w:tblPrEx>
        <w:trPr>
          <w:trHeight w:val="464" w:hRule="atLeast"/>
        </w:trPr>
        <w:tc>
          <w:tcPr>
            <w:tcW w:w="3014" w:type="dxa"/>
            <w:gridSpan w:val="2"/>
            <w:tcBorders>
              <w:top w:val="single" w:color="000000" w:sz="4" w:space="0"/>
              <w:left w:val="single" w:color="000000" w:sz="4" w:space="0"/>
              <w:bottom w:val="single" w:color="000000" w:sz="4" w:space="0"/>
              <w:right w:val="single" w:color="000000" w:sz="4" w:space="0"/>
            </w:tcBorders>
            <w:vAlign w:val="center"/>
          </w:tcPr>
          <w:p w14:paraId="075471F6">
            <w:pPr>
              <w:adjustRightInd w:val="0"/>
              <w:spacing w:after="0" w:line="259" w:lineRule="auto"/>
              <w:ind w:left="0" w:firstLine="0"/>
              <w:jc w:val="center"/>
            </w:pPr>
            <w:r>
              <w:rPr>
                <w:rFonts w:ascii="黑体" w:hAnsi="黑体" w:eastAsia="黑体" w:cs="黑体"/>
                <w:sz w:val="18"/>
              </w:rPr>
              <w:t>合计</w:t>
            </w:r>
          </w:p>
        </w:tc>
        <w:tc>
          <w:tcPr>
            <w:tcW w:w="632" w:type="dxa"/>
            <w:tcBorders>
              <w:top w:val="single" w:color="000000" w:sz="4" w:space="0"/>
              <w:left w:val="single" w:color="000000" w:sz="4" w:space="0"/>
              <w:bottom w:val="single" w:color="000000" w:sz="4" w:space="0"/>
              <w:right w:val="single" w:color="000000" w:sz="4" w:space="0"/>
            </w:tcBorders>
            <w:vAlign w:val="center"/>
          </w:tcPr>
          <w:p w14:paraId="4DA4A87B">
            <w:pPr>
              <w:adjustRightInd w:val="0"/>
              <w:spacing w:after="0" w:line="259" w:lineRule="auto"/>
              <w:ind w:left="0" w:firstLine="0"/>
              <w:jc w:val="center"/>
              <w:rPr>
                <w:rFonts w:hint="eastAsia" w:eastAsia="仿宋"/>
                <w:sz w:val="22"/>
                <w:szCs w:val="21"/>
                <w:lang w:eastAsia="zh-CN"/>
              </w:rPr>
            </w:pPr>
            <w:r>
              <w:rPr>
                <w:rFonts w:hint="eastAsia"/>
                <w:sz w:val="22"/>
                <w:szCs w:val="21"/>
                <w:lang w:val="en-US" w:eastAsia="zh-CN"/>
              </w:rPr>
              <w:t>8</w:t>
            </w:r>
          </w:p>
        </w:tc>
        <w:tc>
          <w:tcPr>
            <w:tcW w:w="911" w:type="dxa"/>
            <w:tcBorders>
              <w:top w:val="single" w:color="000000" w:sz="4" w:space="0"/>
              <w:left w:val="single" w:color="000000" w:sz="4" w:space="0"/>
              <w:bottom w:val="single" w:color="000000" w:sz="4" w:space="0"/>
              <w:right w:val="single" w:color="000000" w:sz="4" w:space="0"/>
            </w:tcBorders>
            <w:vAlign w:val="center"/>
          </w:tcPr>
          <w:p w14:paraId="40E066C7">
            <w:pPr>
              <w:adjustRightInd w:val="0"/>
              <w:spacing w:after="0" w:line="259" w:lineRule="auto"/>
              <w:ind w:left="0" w:firstLine="0"/>
              <w:jc w:val="center"/>
              <w:rPr>
                <w:sz w:val="22"/>
                <w:szCs w:val="21"/>
              </w:rPr>
            </w:pPr>
            <w:bookmarkStart w:id="1" w:name="_GoBack"/>
            <w:bookmarkEnd w:id="1"/>
            <w:r>
              <w:rPr>
                <w:rFonts w:hint="eastAsia"/>
                <w:sz w:val="22"/>
                <w:szCs w:val="21"/>
              </w:rPr>
              <w:t>144</w:t>
            </w:r>
          </w:p>
        </w:tc>
        <w:tc>
          <w:tcPr>
            <w:tcW w:w="1016" w:type="dxa"/>
            <w:tcBorders>
              <w:top w:val="single" w:color="000000" w:sz="4" w:space="0"/>
              <w:left w:val="single" w:color="000000" w:sz="4" w:space="0"/>
              <w:bottom w:val="single" w:color="000000" w:sz="4" w:space="0"/>
              <w:right w:val="single" w:color="000000" w:sz="4" w:space="0"/>
            </w:tcBorders>
            <w:vAlign w:val="center"/>
          </w:tcPr>
          <w:p w14:paraId="7BD3AFF0">
            <w:pPr>
              <w:adjustRightInd w:val="0"/>
              <w:spacing w:after="0" w:line="259" w:lineRule="auto"/>
              <w:ind w:left="0" w:firstLine="0"/>
              <w:jc w:val="center"/>
              <w:rPr>
                <w:sz w:val="22"/>
                <w:szCs w:val="21"/>
              </w:rPr>
            </w:pPr>
            <w:r>
              <w:rPr>
                <w:rFonts w:hint="eastAsia"/>
                <w:sz w:val="22"/>
                <w:szCs w:val="21"/>
              </w:rPr>
              <w:t>67</w:t>
            </w:r>
          </w:p>
        </w:tc>
        <w:tc>
          <w:tcPr>
            <w:tcW w:w="1020" w:type="dxa"/>
            <w:tcBorders>
              <w:top w:val="single" w:color="000000" w:sz="4" w:space="0"/>
              <w:left w:val="single" w:color="000000" w:sz="4" w:space="0"/>
              <w:bottom w:val="single" w:color="000000" w:sz="4" w:space="0"/>
              <w:right w:val="single" w:color="000000" w:sz="4" w:space="0"/>
            </w:tcBorders>
            <w:vAlign w:val="center"/>
          </w:tcPr>
          <w:p w14:paraId="03118D9E">
            <w:pPr>
              <w:adjustRightInd w:val="0"/>
              <w:spacing w:after="0" w:line="259" w:lineRule="auto"/>
              <w:ind w:left="0" w:firstLine="0"/>
              <w:jc w:val="center"/>
              <w:rPr>
                <w:sz w:val="22"/>
                <w:szCs w:val="21"/>
              </w:rPr>
            </w:pPr>
            <w:r>
              <w:rPr>
                <w:rFonts w:hint="eastAsia"/>
                <w:sz w:val="22"/>
                <w:szCs w:val="21"/>
              </w:rPr>
              <w:t>77</w:t>
            </w:r>
          </w:p>
        </w:tc>
        <w:tc>
          <w:tcPr>
            <w:tcW w:w="937" w:type="dxa"/>
            <w:tcBorders>
              <w:top w:val="single" w:color="000000" w:sz="4" w:space="0"/>
              <w:left w:val="single" w:color="000000" w:sz="4" w:space="0"/>
              <w:bottom w:val="single" w:color="000000" w:sz="4" w:space="0"/>
              <w:right w:val="single" w:color="000000" w:sz="4" w:space="0"/>
            </w:tcBorders>
            <w:vAlign w:val="center"/>
          </w:tcPr>
          <w:p w14:paraId="53728A97">
            <w:pPr>
              <w:adjustRightInd w:val="0"/>
              <w:spacing w:after="0" w:line="259" w:lineRule="auto"/>
              <w:ind w:left="0" w:firstLine="0"/>
              <w:jc w:val="center"/>
            </w:pPr>
          </w:p>
        </w:tc>
        <w:tc>
          <w:tcPr>
            <w:tcW w:w="1016" w:type="dxa"/>
            <w:tcBorders>
              <w:top w:val="single" w:color="000000" w:sz="4" w:space="0"/>
              <w:left w:val="single" w:color="000000" w:sz="4" w:space="0"/>
              <w:bottom w:val="single" w:color="000000" w:sz="4" w:space="0"/>
              <w:right w:val="single" w:color="000000" w:sz="4" w:space="0"/>
            </w:tcBorders>
            <w:vAlign w:val="center"/>
          </w:tcPr>
          <w:p w14:paraId="6C3B926E">
            <w:pPr>
              <w:adjustRightInd w:val="0"/>
              <w:spacing w:after="0" w:line="259" w:lineRule="auto"/>
              <w:ind w:left="0" w:firstLine="0"/>
              <w:jc w:val="center"/>
            </w:pPr>
          </w:p>
        </w:tc>
      </w:tr>
    </w:tbl>
    <w:p w14:paraId="35E3CBE9">
      <w:pPr>
        <w:pStyle w:val="2"/>
        <w:spacing w:before="120" w:beforeLines="50"/>
        <w:ind w:left="567" w:hanging="11"/>
      </w:pPr>
      <w:r>
        <w:rPr>
          <w:rFonts w:hint="eastAsia"/>
        </w:rPr>
        <w:t>五</w:t>
      </w:r>
      <w:r>
        <w:t>、课程简介</w:t>
      </w:r>
      <w:r>
        <w:rPr>
          <w:rFonts w:hint="eastAsia"/>
        </w:rPr>
        <w:t>(与第四部分课程对应)</w:t>
      </w:r>
    </w:p>
    <w:p w14:paraId="7F126BBA">
      <w:pPr>
        <w:ind w:left="482" w:right="3734"/>
      </w:pPr>
      <w:r>
        <w:rPr>
          <w:rFonts w:hint="eastAsia"/>
        </w:rPr>
        <w:t>1</w:t>
      </w:r>
      <w:r>
        <w:t>.《</w:t>
      </w:r>
      <w:r>
        <w:rPr>
          <w:rFonts w:hint="eastAsia"/>
        </w:rPr>
        <w:t>动力电池EMS系统与仿真</w:t>
      </w:r>
      <w:r>
        <w:t>》课程</w:t>
      </w:r>
    </w:p>
    <w:p w14:paraId="00BBC6B8">
      <w:pPr>
        <w:spacing w:line="360" w:lineRule="auto"/>
        <w:ind w:left="482" w:firstLine="482"/>
        <w:jc w:val="both"/>
      </w:pPr>
      <w:r>
        <w:t>负责人：</w:t>
      </w:r>
      <w:r>
        <w:rPr>
          <w:rFonts w:hint="eastAsia"/>
        </w:rPr>
        <w:t>武卫东</w:t>
      </w:r>
    </w:p>
    <w:p w14:paraId="3EC335F8">
      <w:pPr>
        <w:spacing w:line="360" w:lineRule="auto"/>
        <w:ind w:left="482" w:firstLine="482"/>
        <w:jc w:val="both"/>
      </w:pPr>
      <w:r>
        <w:rPr>
          <w:rFonts w:hint="eastAsia"/>
        </w:rPr>
        <w:t>教学团队：武卫东、高鹏、任燕</w:t>
      </w:r>
    </w:p>
    <w:p w14:paraId="61FA3C9D">
      <w:pPr>
        <w:spacing w:line="360" w:lineRule="auto"/>
        <w:ind w:left="482" w:firstLine="482"/>
        <w:jc w:val="both"/>
        <w:rPr>
          <w:rFonts w:ascii="Times New Roman" w:hAnsi="Times New Roman" w:cs="Times New Roman"/>
        </w:rPr>
      </w:pPr>
      <w:r>
        <w:rPr>
          <w:rFonts w:ascii="Times New Roman" w:hAnsi="Times New Roman" w:cs="Times New Roman"/>
        </w:rPr>
        <w:t>课程简介：课程介绍电动汽车动力电池管理系统（EMS）的原理、设计与应用。学生将深入了解EMS在电池管理、安全控制和性能优化方面的重要性</w:t>
      </w:r>
      <w:r>
        <w:rPr>
          <w:rFonts w:hint="eastAsia" w:ascii="Times New Roman" w:hAnsi="Times New Roman" w:cs="Times New Roman"/>
        </w:rPr>
        <w:t>，并</w:t>
      </w:r>
      <w:r>
        <w:rPr>
          <w:rFonts w:hint="eastAsia"/>
        </w:rPr>
        <w:t>介绍仿真技术在动力电池EMS系统中的应用</w:t>
      </w:r>
      <w:r>
        <w:rPr>
          <w:rFonts w:ascii="Times New Roman" w:hAnsi="Times New Roman" w:cs="Times New Roman"/>
        </w:rPr>
        <w:t>。课程内容涵盖电池状态监测、充放电控制、温度管理、电池平衡、故障诊断等关键技术，</w:t>
      </w:r>
      <w:r>
        <w:rPr>
          <w:rFonts w:hint="eastAsia" w:ascii="Times New Roman" w:hAnsi="Times New Roman" w:cs="Times New Roman"/>
        </w:rPr>
        <w:t>并</w:t>
      </w:r>
      <w:r>
        <w:rPr>
          <w:rFonts w:hint="eastAsia"/>
        </w:rPr>
        <w:t>系统学习动力电池系统的建模方法、仿真工具及其应用技巧，</w:t>
      </w:r>
      <w:r>
        <w:rPr>
          <w:rFonts w:ascii="Times New Roman" w:hAnsi="Times New Roman" w:cs="Times New Roman"/>
        </w:rPr>
        <w:t>重点探讨EMS系统的软硬件设计与实现</w:t>
      </w:r>
      <w:r>
        <w:rPr>
          <w:rFonts w:hint="eastAsia" w:ascii="Times New Roman" w:hAnsi="Times New Roman" w:cs="Times New Roman"/>
        </w:rPr>
        <w:t>，以及</w:t>
      </w:r>
      <w:r>
        <w:rPr>
          <w:rFonts w:hint="eastAsia"/>
        </w:rPr>
        <w:t>动力电池系统仿真在电池系统设计与优化、系统集成与控制等方面的应用</w:t>
      </w:r>
      <w:r>
        <w:rPr>
          <w:rFonts w:ascii="Times New Roman" w:hAnsi="Times New Roman" w:cs="Times New Roman"/>
        </w:rPr>
        <w:t xml:space="preserve">。通过理论讲解、案例分析和实践操作，学生将掌握EMS系统的设计方法、调试技术和性能评估方法，具备在电动汽车领域进行动力电池管理系统开发与应用的能力。本课程旨在培养学生对动力电池EMS系统的深入理解，为其在新能源汽车行业的研究、开发和应用工作提供实用技能和专业知识支持。 </w:t>
      </w:r>
    </w:p>
    <w:p w14:paraId="57F45050">
      <w:pPr>
        <w:ind w:left="482" w:right="3734"/>
      </w:pPr>
      <w:r>
        <w:rPr>
          <w:rFonts w:hint="eastAsia"/>
        </w:rPr>
        <w:t>2</w:t>
      </w:r>
      <w:r>
        <w:t>.《</w:t>
      </w:r>
      <w:r>
        <w:rPr>
          <w:rFonts w:hint="eastAsia"/>
        </w:rPr>
        <w:t>储能系统设计</w:t>
      </w:r>
      <w:r>
        <w:t>》课程</w:t>
      </w:r>
    </w:p>
    <w:p w14:paraId="52BA01E0">
      <w:pPr>
        <w:spacing w:line="360" w:lineRule="auto"/>
        <w:ind w:left="482" w:firstLine="482"/>
        <w:jc w:val="both"/>
      </w:pPr>
      <w:r>
        <w:t>负责人：</w:t>
      </w:r>
      <w:r>
        <w:rPr>
          <w:rFonts w:hint="eastAsia"/>
        </w:rPr>
        <w:t>刘妮</w:t>
      </w:r>
    </w:p>
    <w:p w14:paraId="44E6CF08">
      <w:pPr>
        <w:spacing w:line="360" w:lineRule="auto"/>
        <w:ind w:left="482" w:firstLine="482"/>
        <w:jc w:val="both"/>
      </w:pPr>
      <w:r>
        <w:rPr>
          <w:rFonts w:hint="eastAsia"/>
        </w:rPr>
        <w:t>教学团队：刘妮、李康、杨果成</w:t>
      </w:r>
    </w:p>
    <w:p w14:paraId="65A14BE2">
      <w:pPr>
        <w:spacing w:line="360" w:lineRule="auto"/>
        <w:ind w:left="482" w:firstLine="482"/>
        <w:jc w:val="both"/>
      </w:pPr>
      <w:r>
        <w:t>课程简介：</w:t>
      </w:r>
      <w:r>
        <w:rPr>
          <w:rFonts w:hint="eastAsia"/>
        </w:rPr>
        <w:t>课程探讨储能系统的设计原理、方法和技术。学生将系统学习储能系统的需求分析、系统结构设计、关键组件选型等内容，深入了解不同类型储能技术的特点和适用场景。课程内容涵盖储能系统的功率与能量匹配、安全与可靠性设计、系统调度与控制等关键问题，重点探讨储能系统设计中的优化策略和方法。通过理论讲解、案例分析和实践操作，学生将掌握储能系统设计的基本原理和技术，具备进行储能系统方案设计与评估的能力。本课程旨在培养学生对储能系统设计的深入理解，为其在相关领域的研究、开发和应用工作提供实用技能和专业知识支持。</w:t>
      </w:r>
    </w:p>
    <w:p w14:paraId="77E8FF1B">
      <w:pPr>
        <w:ind w:left="482" w:right="3734"/>
      </w:pPr>
      <w:r>
        <w:rPr>
          <w:rFonts w:hint="eastAsia"/>
        </w:rPr>
        <w:t>3</w:t>
      </w:r>
      <w:r>
        <w:t>.《</w:t>
      </w:r>
      <w:r>
        <w:rPr>
          <w:rFonts w:hint="eastAsia"/>
        </w:rPr>
        <w:t>氢能与燃料电池技术</w:t>
      </w:r>
      <w:r>
        <w:t>》课程</w:t>
      </w:r>
    </w:p>
    <w:p w14:paraId="408F9F20">
      <w:pPr>
        <w:spacing w:line="360" w:lineRule="auto"/>
        <w:ind w:left="482" w:firstLine="482"/>
        <w:jc w:val="both"/>
      </w:pPr>
      <w:r>
        <w:t>负责人：</w:t>
      </w:r>
      <w:r>
        <w:rPr>
          <w:rFonts w:hint="eastAsia"/>
        </w:rPr>
        <w:t>郝亮</w:t>
      </w:r>
    </w:p>
    <w:p w14:paraId="60D87341">
      <w:pPr>
        <w:spacing w:line="360" w:lineRule="auto"/>
        <w:ind w:left="482" w:firstLine="482"/>
        <w:jc w:val="both"/>
      </w:pPr>
      <w:r>
        <w:rPr>
          <w:rFonts w:hint="eastAsia"/>
        </w:rPr>
        <w:t>教学团队：郝亮、许婧煊、豆少军</w:t>
      </w:r>
    </w:p>
    <w:p w14:paraId="6ACA5C47">
      <w:pPr>
        <w:spacing w:line="360" w:lineRule="auto"/>
        <w:ind w:left="482" w:firstLine="482"/>
        <w:jc w:val="both"/>
      </w:pPr>
      <w:r>
        <w:t>课程简介：</w:t>
      </w:r>
      <w:r>
        <w:rPr>
          <w:rFonts w:hint="eastAsia"/>
        </w:rPr>
        <w:t>课程涵盖氢能的生产、储存和利用技术，以及不同类型燃料电池的原理、结构和性能特点，包含氢能产业链、燃料电池的工作原理、材料与组件设计、系统集成与优化等方面，通过理论探讨和实践案例分析，帮助学生全面了解氢能与燃料电池技术的最新进展和应用前景，培养学生对氢能与燃料电池技术的深刻理解，为其在相关领域的研究、开发和应用工作提供坚实的理论基础和技术支持。</w:t>
      </w:r>
    </w:p>
    <w:p w14:paraId="7042FD8F">
      <w:pPr>
        <w:ind w:left="482" w:right="3734"/>
      </w:pPr>
      <w:r>
        <w:rPr>
          <w:rFonts w:hint="eastAsia"/>
        </w:rPr>
        <w:t>4</w:t>
      </w:r>
      <w:r>
        <w:t>.《</w:t>
      </w:r>
      <w:r>
        <w:rPr>
          <w:rFonts w:hint="eastAsia"/>
        </w:rPr>
        <w:t>电化学测试方法</w:t>
      </w:r>
      <w:r>
        <w:t>》课程</w:t>
      </w:r>
    </w:p>
    <w:p w14:paraId="55065B32">
      <w:pPr>
        <w:ind w:left="482" w:right="3734"/>
      </w:pPr>
      <w:r>
        <w:t>负责人：</w:t>
      </w:r>
      <w:r>
        <w:rPr>
          <w:rFonts w:hint="eastAsia"/>
        </w:rPr>
        <w:t>毛云峰</w:t>
      </w:r>
    </w:p>
    <w:p w14:paraId="6FE57DEE">
      <w:pPr>
        <w:spacing w:line="360" w:lineRule="auto"/>
        <w:ind w:left="482" w:firstLine="482"/>
        <w:jc w:val="both"/>
      </w:pPr>
      <w:r>
        <w:rPr>
          <w:rFonts w:hint="eastAsia"/>
        </w:rPr>
        <w:t>教学团队：毛云峰、刘哲源</w:t>
      </w:r>
    </w:p>
    <w:p w14:paraId="521CFB76">
      <w:pPr>
        <w:spacing w:line="360" w:lineRule="auto"/>
        <w:ind w:left="482" w:firstLine="482"/>
        <w:jc w:val="both"/>
      </w:pPr>
      <w:r>
        <w:t>课程简介：</w:t>
      </w:r>
      <w:r>
        <w:rPr>
          <w:rFonts w:hint="eastAsia"/>
        </w:rPr>
        <w:t>课程介绍电化学测试技术在电化学储能系统中的原理、方法和应用。学生将深入了解电化学测试在电池、超级电容器、燃料电池、液流电池等储能设备中的关键作用，以及在性能评估、故障诊断、寿命预测等方面的应用。课程内容涵盖电化学测试的基本原理、常用测试方法（如充放电测试、循环伏安测试、交流阻抗谱测试等）、测试数据分析与解读技术等方面，重点探讨电化学测试在储能设备性能评价和健康监测中的应用实践。通过理论讲解、实验操作和案例分析，学生将掌握电化学测试技术的原理和操作方法，具备在储能领域进行电化学测试及数据分析的能力。本课程旨在培养学生对电化学测试方法在储能领域的深入理解，为其在相关研究、开发和应用工作中提供实用技能和专业知识支持。</w:t>
      </w:r>
    </w:p>
    <w:p w14:paraId="3CE7BC34">
      <w:pPr>
        <w:ind w:left="482" w:right="3734"/>
      </w:pPr>
      <w:r>
        <w:rPr>
          <w:rFonts w:hint="eastAsia"/>
        </w:rPr>
        <w:t>5</w:t>
      </w:r>
      <w:r>
        <w:t>.《</w:t>
      </w:r>
      <w:r>
        <w:rPr>
          <w:rFonts w:hint="eastAsia"/>
        </w:rPr>
        <w:t>新型储能电池</w:t>
      </w:r>
      <w:r>
        <w:t>》课程</w:t>
      </w:r>
    </w:p>
    <w:p w14:paraId="212BE4AB">
      <w:pPr>
        <w:ind w:left="482" w:right="3734"/>
      </w:pPr>
      <w:r>
        <w:t>负责人：</w:t>
      </w:r>
      <w:r>
        <w:rPr>
          <w:rFonts w:hint="eastAsia"/>
        </w:rPr>
        <w:t>王子龙</w:t>
      </w:r>
      <w:r>
        <w:t xml:space="preserve"> </w:t>
      </w:r>
    </w:p>
    <w:p w14:paraId="2BF03C6E">
      <w:pPr>
        <w:ind w:left="482" w:right="3734"/>
      </w:pPr>
      <w:r>
        <w:rPr>
          <w:rFonts w:hint="eastAsia"/>
        </w:rPr>
        <w:t>教学团队：王子龙、杨英英、杨先中</w:t>
      </w:r>
    </w:p>
    <w:p w14:paraId="3A4B064D">
      <w:pPr>
        <w:spacing w:line="360" w:lineRule="auto"/>
        <w:ind w:left="482" w:firstLine="482"/>
        <w:jc w:val="both"/>
      </w:pPr>
      <w:r>
        <w:t>课程简介：</w:t>
      </w:r>
      <w:r>
        <w:rPr>
          <w:rFonts w:hint="eastAsia"/>
        </w:rPr>
        <w:t>课程介绍最新的储能电池技术及其在能源领域的应用。学生将深入了解各种新型储能电池，如锂离子电池、钠离子电池、固态电池等，以及它们的原理、结构和性能特点。课程内容涵盖新型储能电池的材料与组件设计、工艺制备、性能测试与评价等方面，重点探讨新型电池技术的创新与发展趋势。通过理论讲解、实验操作和案例分析，学生将掌握新型储能电池的原理和制备方法，具备进行电池性能评估与优化的能力。本课程旨在培养学生对新型储能电池技术的深入理解，为其在新能源领域的研究、开发和应用工作提供实用技能和专业知识支持。</w:t>
      </w:r>
    </w:p>
    <w:p w14:paraId="6B3D969B">
      <w:pPr>
        <w:pStyle w:val="2"/>
      </w:pPr>
      <w:r>
        <w:rPr>
          <w:rFonts w:hint="eastAsia"/>
        </w:rPr>
        <w:t>六</w:t>
      </w:r>
      <w:r>
        <w:t>、</w:t>
      </w:r>
      <w:r>
        <w:rPr>
          <w:rFonts w:hint="eastAsia"/>
        </w:rPr>
        <w:t>师资队伍</w:t>
      </w:r>
    </w:p>
    <w:p w14:paraId="34C7A1F5">
      <w:pPr>
        <w:numPr>
          <w:ilvl w:val="0"/>
          <w:numId w:val="4"/>
        </w:numPr>
        <w:spacing w:after="131" w:line="259" w:lineRule="auto"/>
        <w:ind w:left="842" w:hanging="360"/>
        <w:rPr>
          <w:b/>
          <w:bCs/>
        </w:rPr>
      </w:pPr>
      <w:r>
        <w:rPr>
          <w:rFonts w:hint="eastAsia"/>
          <w:b/>
          <w:bCs/>
        </w:rPr>
        <w:t>能源与动力工程学院</w:t>
      </w:r>
    </w:p>
    <w:p w14:paraId="699D1256">
      <w:pPr>
        <w:spacing w:after="131" w:line="360" w:lineRule="auto"/>
        <w:ind w:left="480" w:leftChars="200" w:firstLine="0"/>
        <w:jc w:val="both"/>
        <w:rPr>
          <w:rFonts w:cs="黑体"/>
        </w:rPr>
      </w:pPr>
      <w:r>
        <w:rPr>
          <w:rFonts w:hint="eastAsia" w:cs="黑体"/>
          <w:b/>
          <w:bCs/>
        </w:rPr>
        <w:t>武卫东：</w:t>
      </w:r>
      <w:r>
        <w:rPr>
          <w:rFonts w:hint="eastAsia" w:cs="黑体"/>
        </w:rPr>
        <w:t>博士，教授，开设《储能原理》、《节能创新设计》、《制冷原理》、《制冷与低温技术》等课程，长期从事</w:t>
      </w:r>
      <w:r>
        <w:rPr>
          <w:rFonts w:cs="黑体"/>
        </w:rPr>
        <w:t>热泵与空调、热管理技术</w:t>
      </w:r>
      <w:r>
        <w:rPr>
          <w:rFonts w:hint="eastAsia" w:cs="黑体"/>
        </w:rPr>
        <w:t>、</w:t>
      </w:r>
      <w:r>
        <w:rPr>
          <w:rFonts w:cs="黑体"/>
        </w:rPr>
        <w:t>蓄冷与蓄热技术及应用</w:t>
      </w:r>
      <w:r>
        <w:rPr>
          <w:rFonts w:hint="eastAsia" w:cs="黑体"/>
        </w:rPr>
        <w:t>等领域研究。近五年，承担承担国家级、省部级纵向项目3项，企业横向项目10项，发表</w:t>
      </w:r>
      <w:r>
        <w:rPr>
          <w:rFonts w:cs="黑体"/>
        </w:rPr>
        <w:t>SCI</w:t>
      </w:r>
      <w:r>
        <w:rPr>
          <w:rFonts w:hint="eastAsia" w:cs="黑体"/>
        </w:rPr>
        <w:t>论文30余篇，获中国机械工业科技进步奖二等奖1项（1/10），上海市教学成果一等奖1项(2/10)。获上海市优秀技术带头人，担任教育部工程训练教指委委员、全国制冷技术标准委员会委员等社会学术职务，参编国家和行业标准5项。</w:t>
      </w:r>
    </w:p>
    <w:p w14:paraId="49D56161">
      <w:pPr>
        <w:spacing w:after="131" w:line="360" w:lineRule="auto"/>
        <w:ind w:left="480" w:leftChars="200" w:firstLine="0"/>
        <w:jc w:val="both"/>
        <w:rPr>
          <w:rFonts w:cs="黑体"/>
        </w:rPr>
      </w:pPr>
      <w:r>
        <w:rPr>
          <w:rFonts w:hint="eastAsia" w:cs="黑体"/>
          <w:b/>
          <w:bCs/>
        </w:rPr>
        <w:t>刘妮：</w:t>
      </w:r>
      <w:r>
        <w:rPr>
          <w:rFonts w:hint="eastAsia" w:cs="黑体"/>
        </w:rPr>
        <w:t>博士，教授，开设《储能原理》、《储能系统安全管理》等课程，长期从事水合物储能、新能源汽车热管理等领域研究。近五年，承担企业横向项目12项，发表</w:t>
      </w:r>
      <w:r>
        <w:rPr>
          <w:rFonts w:cs="黑体"/>
        </w:rPr>
        <w:t>SCI</w:t>
      </w:r>
      <w:r>
        <w:rPr>
          <w:rFonts w:hint="eastAsia" w:cs="黑体"/>
        </w:rPr>
        <w:t>论文19篇，发表教研论文2篇；获上海市自然科学奖二等奖1项（2/5），上海市科技进步奖二等奖1项（5/10），上海市产学研合作优秀项目奖二等奖1项（1/5），中国机械工业科技进步二等奖1项（1/10）；承担教育部产学合作协同育人项目3项，指导全国能动类百篇优秀毕业论文，指导1名研究生获得上海理工大学全日制专业学位“专业实践优秀研究生”荣誉称号，指导1名研究生获上海理工大学优秀研究生优秀学位论文。2022荣获上海理工大学课程教学优秀奖一等奖，2020年获优秀导师</w:t>
      </w:r>
      <w:r>
        <w:rPr>
          <w:rFonts w:cs="黑体"/>
        </w:rPr>
        <w:t>/</w:t>
      </w:r>
      <w:r>
        <w:rPr>
          <w:rFonts w:hint="eastAsia" w:cs="黑体"/>
        </w:rPr>
        <w:t>师生共同体。</w:t>
      </w:r>
    </w:p>
    <w:p w14:paraId="1A05B4E9">
      <w:pPr>
        <w:spacing w:after="131" w:line="360" w:lineRule="auto"/>
        <w:ind w:left="480" w:leftChars="200" w:firstLine="0"/>
        <w:jc w:val="both"/>
        <w:rPr>
          <w:rFonts w:cs="黑体"/>
        </w:rPr>
      </w:pPr>
      <w:r>
        <w:rPr>
          <w:rFonts w:hint="eastAsia" w:cs="黑体"/>
          <w:b/>
          <w:bCs/>
        </w:rPr>
        <w:t>王子龙：</w:t>
      </w:r>
      <w:r>
        <w:rPr>
          <w:rFonts w:hint="eastAsia" w:cs="黑体"/>
        </w:rPr>
        <w:t>博士，教授，开设《储能材料基础与应用》、《太阳能储存技术》等课程，长期从事相变蓄热、太阳能利用、可再生能源制氢等领域研究。近五年，承担承担国家级、省部级纵向项目4项，企业横向项目6项，发表学术论文60余篇，其中SCI/EI收录30余篇，他引合计200余次，教改论文2篇；授权发明专利1项；担任《制冷学报》青年编委；相关项目科研成果联合获得2023年中国机械工业科学技术奖二等奖和2017年上海市科技进步奖三等奖；2021年进入上海理工大学“志远”计划。指导指导1名研究生获2022年度上海市工程热物理学会优秀硕士学位论文；指导学生获省部级以上科技竞赛一等奖1项、二等奖2项，三等奖2项。</w:t>
      </w:r>
    </w:p>
    <w:p w14:paraId="67FA0CFC">
      <w:pPr>
        <w:spacing w:after="131" w:line="360" w:lineRule="auto"/>
        <w:ind w:left="480" w:leftChars="200" w:firstLine="0"/>
        <w:jc w:val="both"/>
        <w:rPr>
          <w:rFonts w:cs="黑体"/>
        </w:rPr>
      </w:pPr>
      <w:r>
        <w:rPr>
          <w:rFonts w:hint="eastAsia" w:cs="黑体"/>
          <w:b/>
          <w:bCs/>
        </w:rPr>
        <w:t>杨英英：</w:t>
      </w:r>
      <w:r>
        <w:rPr>
          <w:rFonts w:hint="eastAsia" w:cs="黑体"/>
        </w:rPr>
        <w:t>博士，副教授，开设《低碳建筑储能及节能技术》、《储能专业系列实验》、《制冷原理》，长期从事高效储能、除湿材料研发及应用；多孔介质传热传质等领域研究。近五年，承担国家级、省部级纵向项目4项，发表SCI论文19篇，先后获评上海市青年科技英才扬帆计划、上海市东方学者（青年），获得中国机械工业科学技术奖二等奖1项（4/10），发表教研论文4篇，获校级教学成果奖1项、教学竞赛二等奖1项；指导学生获省部级以上科技竞赛奖1项。</w:t>
      </w:r>
    </w:p>
    <w:p w14:paraId="7ED0FE2E">
      <w:pPr>
        <w:spacing w:after="131" w:line="360" w:lineRule="auto"/>
        <w:ind w:left="480" w:leftChars="200" w:firstLine="0"/>
        <w:jc w:val="both"/>
        <w:rPr>
          <w:rFonts w:cs="黑体"/>
        </w:rPr>
      </w:pPr>
      <w:r>
        <w:rPr>
          <w:rFonts w:hint="eastAsia" w:cs="黑体"/>
          <w:b/>
          <w:bCs/>
        </w:rPr>
        <w:t>郝亮</w:t>
      </w:r>
      <w:r>
        <w:rPr>
          <w:rFonts w:hint="eastAsia" w:ascii="Calibri" w:hAnsi="Calibri" w:cs="Calibri"/>
          <w:b/>
          <w:bCs/>
        </w:rPr>
        <w:t>：</w:t>
      </w:r>
      <w:r>
        <w:rPr>
          <w:rFonts w:hint="eastAsia" w:ascii="Calibri" w:hAnsi="Calibri" w:cs="Calibri"/>
        </w:rPr>
        <w:t>博士，副教授。开设《燃料电池技术》、《电化学原理》、《储能材料》等课程，长期</w:t>
      </w:r>
      <w:r>
        <w:rPr>
          <w:rFonts w:hint="eastAsia" w:cs="黑体"/>
        </w:rPr>
        <w:t>从事新能源与储能、燃料电池材料与系统、储能电池材料与系统领域的研究。近五年，承担承担国家级、省部级纵向项目2项，企业横向项目4项，发表SCI论文</w:t>
      </w:r>
      <w:r>
        <w:rPr>
          <w:rFonts w:cs="黑体"/>
        </w:rPr>
        <w:t>4</w:t>
      </w:r>
      <w:r>
        <w:rPr>
          <w:rFonts w:hint="eastAsia" w:cs="黑体"/>
        </w:rPr>
        <w:t>0余篇，他引合计</w:t>
      </w:r>
      <w:r>
        <w:rPr>
          <w:rFonts w:cs="黑体"/>
        </w:rPr>
        <w:t>20</w:t>
      </w:r>
      <w:r>
        <w:rPr>
          <w:rFonts w:hint="eastAsia" w:cs="黑体"/>
        </w:rPr>
        <w:t>00余次；授权发明专利1项，承当教改项目一项。</w:t>
      </w:r>
    </w:p>
    <w:p w14:paraId="417DEBC2">
      <w:pPr>
        <w:spacing w:after="131" w:line="360" w:lineRule="auto"/>
        <w:ind w:left="480" w:leftChars="200" w:firstLine="0"/>
        <w:jc w:val="both"/>
        <w:rPr>
          <w:rFonts w:cs="黑体"/>
        </w:rPr>
      </w:pPr>
      <w:r>
        <w:rPr>
          <w:rFonts w:hint="eastAsia" w:cs="黑体"/>
          <w:b/>
          <w:bCs/>
        </w:rPr>
        <w:t>许婧煊：</w:t>
      </w:r>
      <w:r>
        <w:rPr>
          <w:rFonts w:hint="eastAsia" w:cs="黑体"/>
        </w:rPr>
        <w:t>博士，</w:t>
      </w:r>
      <w:bookmarkStart w:id="0" w:name="OLE_LINK1"/>
      <w:r>
        <w:rPr>
          <w:rFonts w:hint="eastAsia" w:cs="黑体"/>
        </w:rPr>
        <w:t>副教授</w:t>
      </w:r>
      <w:bookmarkEnd w:id="0"/>
      <w:r>
        <w:rPr>
          <w:rFonts w:hint="eastAsia" w:cs="黑体"/>
        </w:rPr>
        <w:t>，开设《</w:t>
      </w:r>
      <w:r>
        <w:rPr>
          <w:rFonts w:hint="eastAsia"/>
        </w:rPr>
        <w:t>制氢与储氢技术</w:t>
      </w:r>
      <w:r>
        <w:rPr>
          <w:rFonts w:hint="eastAsia" w:cs="黑体"/>
        </w:rPr>
        <w:t>》、《能源环境与可持续发展》等课程，长期从事氢能储运系统等领域相关研究，近五年，承担省部级项目2项、企业横向项目3项，发表SCI论文15篇，获评上海市“科技创新行动计划”启明星计划（扬帆专项）；公开发明专利6项；发表教研论文2篇；指导学生获省部级以上科技竞赛奖1项；获得校级优秀班主任荣誉项1项；“新时代中国说”大学生讲师赛优秀指导教师2项；指导学生获优秀毕业论文1项；优秀工会工作者；优秀工会积极分子。</w:t>
      </w:r>
    </w:p>
    <w:p w14:paraId="16CA3F41">
      <w:pPr>
        <w:spacing w:after="131" w:line="360" w:lineRule="auto"/>
        <w:ind w:left="480" w:leftChars="200" w:firstLine="0"/>
        <w:jc w:val="both"/>
        <w:rPr>
          <w:rFonts w:cs="黑体"/>
        </w:rPr>
      </w:pPr>
      <w:r>
        <w:rPr>
          <w:rFonts w:hint="eastAsia" w:cs="黑体"/>
          <w:b/>
          <w:bCs/>
        </w:rPr>
        <w:t>杨果成：</w:t>
      </w:r>
      <w:r>
        <w:rPr>
          <w:rFonts w:hint="eastAsia" w:cs="黑体"/>
        </w:rPr>
        <w:t>博士，副教授，开设《</w:t>
      </w:r>
      <w:r>
        <w:rPr>
          <w:rFonts w:hint="eastAsia"/>
        </w:rPr>
        <w:t>储能系统安全管理</w:t>
      </w:r>
      <w:r>
        <w:rPr>
          <w:rFonts w:hint="eastAsia" w:cs="黑体"/>
        </w:rPr>
        <w:t>》等课程，长期从事</w:t>
      </w:r>
      <w:r>
        <w:rPr>
          <w:rFonts w:cs="黑体"/>
        </w:rPr>
        <w:t>LNG用换热器中的传热传质</w:t>
      </w:r>
      <w:r>
        <w:rPr>
          <w:rFonts w:hint="eastAsia" w:cs="黑体"/>
        </w:rPr>
        <w:t>等领域相关研究，近五年，承担国家级项目1项、军工横向项目1项，发表SCI论文4篇，授权国内专利5项；发表教研论文2篇。</w:t>
      </w:r>
    </w:p>
    <w:p w14:paraId="67E968EB">
      <w:pPr>
        <w:spacing w:after="131" w:line="360" w:lineRule="auto"/>
        <w:ind w:left="480" w:leftChars="200" w:firstLine="0"/>
        <w:jc w:val="both"/>
        <w:rPr>
          <w:rFonts w:cs="黑体"/>
        </w:rPr>
      </w:pPr>
      <w:r>
        <w:rPr>
          <w:rFonts w:hint="eastAsia" w:cs="黑体"/>
          <w:b/>
          <w:bCs/>
        </w:rPr>
        <w:t>毛云峰：</w:t>
      </w:r>
      <w:r>
        <w:rPr>
          <w:rFonts w:hint="eastAsia" w:cs="黑体"/>
        </w:rPr>
        <w:t>博士，副教授，开设《物理化学》、《电化学基础》等课程，长期从事电化学储能、多孔介质传热传质等领域研究。近五年，承担国家级、省部级纵向项目2项，参与国家重点研发计划、科技支撑计划等国家课题3项，负责企业横向项目3项，发表</w:t>
      </w:r>
      <w:r>
        <w:rPr>
          <w:rFonts w:cs="黑体"/>
        </w:rPr>
        <w:t>SCI</w:t>
      </w:r>
      <w:r>
        <w:rPr>
          <w:rFonts w:hint="eastAsia" w:cs="黑体"/>
        </w:rPr>
        <w:t>论文10余篇，授权国际及国内专利6项，参编国家标准1项；发表教研论文2篇；指导全国能动类百篇优秀毕业论文1篇。</w:t>
      </w:r>
    </w:p>
    <w:p w14:paraId="1C64A188">
      <w:pPr>
        <w:spacing w:after="131" w:line="360" w:lineRule="auto"/>
        <w:ind w:left="480" w:leftChars="200" w:firstLine="0"/>
        <w:jc w:val="both"/>
        <w:rPr>
          <w:rFonts w:hint="eastAsia" w:cs="黑体"/>
        </w:rPr>
      </w:pPr>
      <w:r>
        <w:rPr>
          <w:rFonts w:hint="eastAsia" w:cs="黑体"/>
          <w:b/>
          <w:bCs/>
        </w:rPr>
        <w:t>任燕：</w:t>
      </w:r>
      <w:r>
        <w:rPr>
          <w:rFonts w:hint="eastAsia" w:cs="黑体"/>
        </w:rPr>
        <w:t>博士，讲师，开设《</w:t>
      </w:r>
      <w:r>
        <w:t>储能系统设计与工程案例</w:t>
      </w:r>
      <w:r>
        <w:rPr>
          <w:rFonts w:hint="eastAsia" w:cs="黑体"/>
        </w:rPr>
        <w:t>》、《</w:t>
      </w:r>
      <w:r>
        <w:rPr>
          <w:rFonts w:cs="黑体"/>
        </w:rPr>
        <w:t>能源动力类计算机软件实践C</w:t>
      </w:r>
      <w:r>
        <w:rPr>
          <w:rFonts w:hint="eastAsia" w:cs="黑体"/>
        </w:rPr>
        <w:t>》、《计算方法</w:t>
      </w:r>
      <w:r>
        <w:rPr>
          <w:rFonts w:cs="黑体"/>
        </w:rPr>
        <w:t>B</w:t>
      </w:r>
      <w:r>
        <w:rPr>
          <w:rFonts w:hint="eastAsia" w:cs="黑体"/>
        </w:rPr>
        <w:t>》等课程，长期从事气液两相流、天然气液化等研究，近五年，承担省部级项目2项、企业横向项目1项，发表SCI论文8篇，获评上海市青年科技英才扬帆计划；发表教研论文2篇，获得校级教学成果一等奖1项，校级教学竞赛二等奖1项；获得校级优秀班主任荣誉项1项，所带班级获得校级优秀班集体荣誉1项；指导学生获校优秀毕业论文1项；获得优秀工会工作者荣誉2项，上海市制冷学会优秀组织者等荣誉2项。</w:t>
      </w:r>
    </w:p>
    <w:p w14:paraId="006AE414">
      <w:pPr>
        <w:numPr>
          <w:ilvl w:val="0"/>
          <w:numId w:val="4"/>
        </w:numPr>
        <w:spacing w:after="131" w:line="259" w:lineRule="auto"/>
        <w:ind w:left="842" w:hanging="360"/>
        <w:rPr>
          <w:b/>
          <w:bCs/>
        </w:rPr>
      </w:pPr>
      <w:r>
        <w:rPr>
          <w:rFonts w:hint="eastAsia"/>
          <w:b/>
          <w:bCs/>
        </w:rPr>
        <w:t>南方电网电力科技股份有限责任公司</w:t>
      </w:r>
    </w:p>
    <w:p w14:paraId="1FBC8B8A">
      <w:pPr>
        <w:spacing w:after="131" w:line="360" w:lineRule="auto"/>
        <w:ind w:left="480" w:leftChars="200" w:firstLine="0"/>
        <w:jc w:val="both"/>
        <w:rPr>
          <w:rFonts w:cs="黑体"/>
        </w:rPr>
      </w:pPr>
      <w:r>
        <w:rPr>
          <w:rFonts w:hint="eastAsia" w:cs="黑体"/>
          <w:b/>
          <w:bCs/>
        </w:rPr>
        <w:t>钟国彬：</w:t>
      </w:r>
      <w:r>
        <w:rPr>
          <w:rFonts w:hint="eastAsia" w:cs="黑体"/>
        </w:rPr>
        <w:t>博士，南方电网电力科技股份有限责任公司新能源与储能事业部副总经理，正高级工程师，全国电力储能标准化技术委员会委员，中国能源研究会储能专委会委员。</w:t>
      </w:r>
      <w:r>
        <w:rPr>
          <w:rFonts w:cs="黑体"/>
        </w:rPr>
        <w:t>2012年博士毕业于中国科学技术大学材料学专业，期间主要从事先进储能材料相关研究；其后进入广东电网有限责任公司电力科学研究院从事化学储能技术及其在电网中的应用研究，主要开展锂离子电池、钠离子电池、超级电容器等储能本体技术研究。</w:t>
      </w:r>
      <w:r>
        <w:rPr>
          <w:rFonts w:ascii="Calibri" w:hAnsi="Calibri" w:cs="Calibri"/>
        </w:rPr>
        <w:t> </w:t>
      </w:r>
      <w:r>
        <w:rPr>
          <w:rFonts w:cs="黑体"/>
        </w:rPr>
        <w:t>先后主持或参与“铅酸蓄电池寿命曲线及延寿措施研究”、“锂离子电池储能系统火灾爆炸风险预测、防控技术及其应用研究”、“基于电网多端融</w:t>
      </w:r>
      <w:r>
        <w:rPr>
          <w:rFonts w:hint="eastAsia" w:cs="黑体"/>
        </w:rPr>
        <w:t>合应用的储能技术与经济研究”、“磷酸盐体系钠离子电池材料及器件的研发”、“石墨烯超级电容器的设计与应用研究”等南方电网重点科技项目；参与国家重点研发计划课题“高功率超级电容器器件的服役行为及失效机制研究”。参与编制《广东电网公司“十三五”创新驱动行动计划（储能分册）》。先后发表论文</w:t>
      </w:r>
      <w:r>
        <w:rPr>
          <w:rFonts w:cs="黑体"/>
        </w:rPr>
        <w:t>30余篇，其中8篇被SCI收录。在科学出版社出版专著一本《化学储能技术及其在电力系统中的应用》。</w:t>
      </w:r>
    </w:p>
    <w:p w14:paraId="1F41F06C">
      <w:pPr>
        <w:numPr>
          <w:ilvl w:val="0"/>
          <w:numId w:val="4"/>
        </w:numPr>
        <w:spacing w:after="131" w:line="259" w:lineRule="auto"/>
        <w:ind w:left="842" w:hanging="360"/>
        <w:rPr>
          <w:b/>
          <w:bCs/>
        </w:rPr>
      </w:pPr>
      <w:r>
        <w:rPr>
          <w:rFonts w:hint="eastAsia"/>
          <w:b/>
          <w:bCs/>
        </w:rPr>
        <w:t>公安部上海消防所</w:t>
      </w:r>
    </w:p>
    <w:p w14:paraId="3FB1228F">
      <w:pPr>
        <w:spacing w:after="131" w:line="360" w:lineRule="auto"/>
        <w:ind w:left="480" w:leftChars="200" w:firstLine="0"/>
        <w:jc w:val="both"/>
        <w:rPr>
          <w:rFonts w:cs="黑体"/>
        </w:rPr>
      </w:pPr>
      <w:r>
        <w:rPr>
          <w:rFonts w:hint="eastAsia" w:cs="黑体"/>
          <w:b/>
          <w:bCs/>
        </w:rPr>
        <w:t>何其泽</w:t>
      </w:r>
      <w:r>
        <w:rPr>
          <w:rFonts w:hint="eastAsia" w:cs="黑体"/>
        </w:rPr>
        <w:t>：博士，公安部上海消防所助理研究员，</w:t>
      </w:r>
      <w:r>
        <w:rPr>
          <w:rFonts w:cs="黑体"/>
        </w:rPr>
        <w:t>2016年博士毕业，为美国德州大学奥斯汀分校（UT Austin）机械工程系访问学者，2017年入选上海市青年科技英才扬帆计划，现就职于公安部上海消防研究所灭火理论研究室。近年来主要从事储能安全消防等方面的研究，主持了国家自然科学基金青年基金项目等多个国家级、省部级项目，作为项目骨干，参与了国家重点研发计划“公共安全”专项、“新能源汽车”专项等10余项重大课题研究，发表SCI、EI等高水平论文20余篇，研究成果在多个消防总队得到应用示范。</w:t>
      </w:r>
    </w:p>
    <w:p w14:paraId="3B9EE62C">
      <w:pPr>
        <w:numPr>
          <w:ilvl w:val="0"/>
          <w:numId w:val="4"/>
        </w:numPr>
        <w:spacing w:after="131" w:line="259" w:lineRule="auto"/>
        <w:ind w:left="842" w:hanging="360"/>
        <w:rPr>
          <w:b/>
          <w:bCs/>
        </w:rPr>
      </w:pPr>
      <w:r>
        <w:rPr>
          <w:rFonts w:hint="eastAsia"/>
          <w:b/>
          <w:bCs/>
        </w:rPr>
        <w:t>上海玫克生储能科技有限公司</w:t>
      </w:r>
    </w:p>
    <w:p w14:paraId="578DDBC0">
      <w:pPr>
        <w:spacing w:after="131" w:line="360" w:lineRule="auto"/>
        <w:ind w:left="480" w:leftChars="200" w:firstLine="0"/>
        <w:jc w:val="both"/>
        <w:rPr>
          <w:rFonts w:ascii="Times New Roman" w:hAnsi="Times New Roman" w:cs="Times New Roman"/>
        </w:rPr>
      </w:pPr>
      <w:r>
        <w:rPr>
          <w:rFonts w:ascii="Times New Roman" w:hAnsi="Times New Roman" w:cs="Times New Roman"/>
          <w:b/>
          <w:bCs/>
        </w:rPr>
        <w:t>赵恩海：</w:t>
      </w:r>
      <w:r>
        <w:rPr>
          <w:rFonts w:ascii="Times New Roman" w:hAnsi="Times New Roman" w:cs="Times New Roman"/>
        </w:rPr>
        <w:t>博士，毕业于美国佐治亚理工学院电子工程专业。上海玫克生储能科技有限公司CTO，负责锂电池电化学模型算法软、硬件求解器和锂电池电化学模型参数辨识器的研发，以及锂电池大数据统计算法的研发。曾先后任职于IBM公司、美国国家半导体公司、惠众新能源科技有限公司、中奕智创医疗科技有限公司。入选江苏省“留学回国人员创新创业计划”、“六大人才高峰”、“盐城市第五批创新创业领军人才”等。他带领的团队获得“国家知识产权优势企业”、“上海中小企业高价值专利产业化示范单位”等荣誉，以及在绿色增长领域获得全球冠军等奖项。曾在IEEE Transaction on Electron Devices和IEEE Electron Device Letters等学术期刊担任审稿人，并入选Golden List。他的研究工作在多个国际期刊和会议上发表，包括《Solid-State Electronics》、《IEEE Transactions on Electron Devices》、《IEEE Transactions on Nuclear Science》等，授权专利90余项。</w:t>
      </w:r>
    </w:p>
    <w:p w14:paraId="09879671">
      <w:pPr>
        <w:pStyle w:val="2"/>
      </w:pPr>
      <w:r>
        <w:rPr>
          <w:rFonts w:hint="eastAsia"/>
        </w:rPr>
        <w:t>七</w:t>
      </w:r>
      <w:r>
        <w:t>、授课时间</w:t>
      </w:r>
    </w:p>
    <w:p w14:paraId="31A3179C">
      <w:pPr>
        <w:spacing w:after="87"/>
        <w:ind w:left="482" w:firstLine="480"/>
      </w:pPr>
      <w:r>
        <w:rPr>
          <w:rFonts w:hint="eastAsia"/>
        </w:rPr>
        <w:t>统一安排在每年暑期学术科研周进行，具体时间以当年度课表为准。</w:t>
      </w:r>
    </w:p>
    <w:p w14:paraId="58CD9C1A">
      <w:pPr>
        <w:pStyle w:val="2"/>
      </w:pPr>
      <w:r>
        <w:rPr>
          <w:rFonts w:hint="eastAsia"/>
        </w:rPr>
        <w:t>八</w:t>
      </w:r>
      <w:r>
        <w:t>、修读证书</w:t>
      </w:r>
    </w:p>
    <w:p w14:paraId="62EA88E1">
      <w:pPr>
        <w:spacing w:after="87"/>
        <w:ind w:left="482" w:firstLine="480"/>
      </w:pPr>
      <w:r>
        <w:rPr>
          <w:rFonts w:hint="eastAsia"/>
        </w:rPr>
        <w:t>每门</w:t>
      </w:r>
      <w:r>
        <w:t>课程</w:t>
      </w:r>
      <w:r>
        <w:rPr>
          <w:rFonts w:hint="eastAsia"/>
        </w:rPr>
        <w:t>修读完毕</w:t>
      </w:r>
      <w:r>
        <w:t>可获得</w:t>
      </w:r>
      <w:r>
        <w:rPr>
          <w:rFonts w:hint="eastAsia"/>
        </w:rPr>
        <w:t>该</w:t>
      </w:r>
      <w:r>
        <w:t>课程</w:t>
      </w:r>
      <w:r>
        <w:rPr>
          <w:rFonts w:hint="eastAsia"/>
        </w:rPr>
        <w:t>成绩，</w:t>
      </w:r>
      <w:r>
        <w:t>完成全部课程和实践活动并经考核合格，将获得</w:t>
      </w:r>
      <w:r>
        <w:rPr>
          <w:rFonts w:hint="eastAsia"/>
        </w:rPr>
        <w:t>上海理工</w:t>
      </w:r>
      <w:r>
        <w:t>大学</w:t>
      </w:r>
      <w:r>
        <w:rPr>
          <w:rFonts w:hint="eastAsia"/>
        </w:rPr>
        <w:t>储能工程</w:t>
      </w:r>
      <w:r>
        <w:t>微专业</w:t>
      </w:r>
      <w:r>
        <w:rPr>
          <w:rFonts w:hint="eastAsia"/>
        </w:rPr>
        <w:t>证书</w:t>
      </w:r>
      <w:r>
        <w:t>。</w:t>
      </w:r>
    </w:p>
    <w:p w14:paraId="5A920E1B">
      <w:pPr>
        <w:spacing w:after="134" w:line="259" w:lineRule="auto"/>
        <w:ind w:left="482"/>
      </w:pPr>
      <w:r>
        <w:rPr>
          <w:rFonts w:hint="eastAsia" w:ascii="黑体" w:hAnsi="黑体" w:eastAsia="黑体" w:cs="黑体"/>
          <w:sz w:val="28"/>
        </w:rPr>
        <w:t>九</w:t>
      </w:r>
      <w:r>
        <w:rPr>
          <w:rFonts w:ascii="黑体" w:hAnsi="黑体" w:eastAsia="黑体" w:cs="黑体"/>
          <w:sz w:val="28"/>
        </w:rPr>
        <w:t>、收费标准</w:t>
      </w:r>
    </w:p>
    <w:p w14:paraId="30341101">
      <w:pPr>
        <w:spacing w:after="224" w:line="259" w:lineRule="auto"/>
        <w:ind w:left="482"/>
      </w:pPr>
      <w:r>
        <w:rPr>
          <w:rFonts w:hint="eastAsia"/>
          <w:color w:val="auto"/>
          <w:lang w:val="en-US" w:eastAsia="zh-CN"/>
        </w:rPr>
        <w:t>130</w:t>
      </w:r>
      <w:r>
        <w:rPr>
          <w:color w:val="auto"/>
        </w:rPr>
        <w:t>元/学分。</w:t>
      </w:r>
    </w:p>
    <w:p w14:paraId="587D1C1E">
      <w:pPr>
        <w:pStyle w:val="2"/>
      </w:pPr>
      <w:r>
        <w:rPr>
          <w:rFonts w:hint="eastAsia"/>
        </w:rPr>
        <w:t>十、报名方式</w:t>
      </w:r>
    </w:p>
    <w:p w14:paraId="52AC930C">
      <w:pPr>
        <w:ind w:left="482" w:firstLine="480" w:firstLineChars="200"/>
      </w:pPr>
      <w:r>
        <w:rPr>
          <w:rFonts w:hint="eastAsia"/>
        </w:rPr>
        <w:t>符合条件的研究生填写报名表提交学院，学院填写汇总表加盖公章后提交研究生院（卓越工程师学院）。</w:t>
      </w:r>
    </w:p>
    <w:p w14:paraId="41921FA2">
      <w:pPr>
        <w:ind w:left="482"/>
      </w:pPr>
      <w:r>
        <w:t xml:space="preserve">                                                 </w:t>
      </w:r>
      <w:r>
        <w:rPr>
          <w:rFonts w:hint="eastAsia"/>
        </w:rPr>
        <w:t>能源与动力工程学院</w:t>
      </w:r>
    </w:p>
    <w:p w14:paraId="1DD44F63">
      <w:pPr>
        <w:ind w:left="482"/>
        <w:jc w:val="right"/>
      </w:pPr>
      <w:r>
        <w:rPr>
          <w:rFonts w:hint="eastAsia"/>
        </w:rPr>
        <w:t>研究生院（卓越工程师学院）</w:t>
      </w:r>
    </w:p>
    <w:p w14:paraId="74F65204">
      <w:pPr>
        <w:ind w:left="482"/>
      </w:pPr>
    </w:p>
    <w:sectPr>
      <w:pgSz w:w="11906" w:h="16838"/>
      <w:pgMar w:top="1445" w:right="1560" w:bottom="157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6" w:lineRule="auto"/>
      </w:pPr>
      <w:r>
        <w:separator/>
      </w:r>
    </w:p>
  </w:footnote>
  <w:footnote w:type="continuationSeparator" w:id="1">
    <w:p>
      <w:pPr>
        <w:spacing w:before="0" w:after="0" w:line="3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A6DB6"/>
    <w:multiLevelType w:val="multilevel"/>
    <w:tmpl w:val="1FAA6DB6"/>
    <w:lvl w:ilvl="0" w:tentative="0">
      <w:start w:val="1"/>
      <w:numFmt w:val="decimal"/>
      <w:lvlText w:val="(%1)"/>
      <w:lvlJc w:val="left"/>
      <w:pPr>
        <w:ind w:left="1330" w:hanging="360"/>
      </w:pPr>
      <w:rPr>
        <w:rFonts w:hint="default"/>
      </w:rPr>
    </w:lvl>
    <w:lvl w:ilvl="1" w:tentative="0">
      <w:start w:val="1"/>
      <w:numFmt w:val="lowerLetter"/>
      <w:lvlText w:val="%2)"/>
      <w:lvlJc w:val="left"/>
      <w:pPr>
        <w:ind w:left="1850" w:hanging="440"/>
      </w:pPr>
    </w:lvl>
    <w:lvl w:ilvl="2" w:tentative="0">
      <w:start w:val="1"/>
      <w:numFmt w:val="lowerRoman"/>
      <w:lvlText w:val="%3."/>
      <w:lvlJc w:val="right"/>
      <w:pPr>
        <w:ind w:left="2290" w:hanging="440"/>
      </w:pPr>
    </w:lvl>
    <w:lvl w:ilvl="3" w:tentative="0">
      <w:start w:val="1"/>
      <w:numFmt w:val="decimal"/>
      <w:lvlText w:val="%4."/>
      <w:lvlJc w:val="left"/>
      <w:pPr>
        <w:ind w:left="2730" w:hanging="440"/>
      </w:pPr>
    </w:lvl>
    <w:lvl w:ilvl="4" w:tentative="0">
      <w:start w:val="1"/>
      <w:numFmt w:val="lowerLetter"/>
      <w:lvlText w:val="%5)"/>
      <w:lvlJc w:val="left"/>
      <w:pPr>
        <w:ind w:left="3170" w:hanging="440"/>
      </w:pPr>
    </w:lvl>
    <w:lvl w:ilvl="5" w:tentative="0">
      <w:start w:val="1"/>
      <w:numFmt w:val="lowerRoman"/>
      <w:lvlText w:val="%6."/>
      <w:lvlJc w:val="right"/>
      <w:pPr>
        <w:ind w:left="3610" w:hanging="440"/>
      </w:pPr>
    </w:lvl>
    <w:lvl w:ilvl="6" w:tentative="0">
      <w:start w:val="1"/>
      <w:numFmt w:val="decimal"/>
      <w:lvlText w:val="%7."/>
      <w:lvlJc w:val="left"/>
      <w:pPr>
        <w:ind w:left="4050" w:hanging="440"/>
      </w:pPr>
    </w:lvl>
    <w:lvl w:ilvl="7" w:tentative="0">
      <w:start w:val="1"/>
      <w:numFmt w:val="lowerLetter"/>
      <w:lvlText w:val="%8)"/>
      <w:lvlJc w:val="left"/>
      <w:pPr>
        <w:ind w:left="4490" w:hanging="440"/>
      </w:pPr>
    </w:lvl>
    <w:lvl w:ilvl="8" w:tentative="0">
      <w:start w:val="1"/>
      <w:numFmt w:val="lowerRoman"/>
      <w:lvlText w:val="%9."/>
      <w:lvlJc w:val="right"/>
      <w:pPr>
        <w:ind w:left="4930" w:hanging="440"/>
      </w:pPr>
    </w:lvl>
  </w:abstractNum>
  <w:abstractNum w:abstractNumId="1">
    <w:nsid w:val="29C6560C"/>
    <w:multiLevelType w:val="multilevel"/>
    <w:tmpl w:val="29C6560C"/>
    <w:lvl w:ilvl="0" w:tentative="0">
      <w:start w:val="4"/>
      <w:numFmt w:val="japaneseCounting"/>
      <w:lvlText w:val="%1、"/>
      <w:lvlJc w:val="left"/>
      <w:pPr>
        <w:ind w:left="1289" w:hanging="72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2">
    <w:nsid w:val="37FC034C"/>
    <w:multiLevelType w:val="multilevel"/>
    <w:tmpl w:val="37FC034C"/>
    <w:lvl w:ilvl="0" w:tentative="0">
      <w:start w:val="1"/>
      <w:numFmt w:val="decimal"/>
      <w:lvlText w:val="%1、"/>
      <w:lvlJc w:val="left"/>
      <w:pPr>
        <w:ind w:left="84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
    <w:nsid w:val="63FD1D6D"/>
    <w:multiLevelType w:val="multilevel"/>
    <w:tmpl w:val="63FD1D6D"/>
    <w:lvl w:ilvl="0" w:tentative="0">
      <w:start w:val="1"/>
      <w:numFmt w:val="japaneseCounting"/>
      <w:lvlText w:val="%1、"/>
      <w:lvlJc w:val="left"/>
      <w:pPr>
        <w:ind w:left="1274" w:hanging="720"/>
      </w:pPr>
      <w:rPr>
        <w:rFonts w:hint="default"/>
      </w:rPr>
    </w:lvl>
    <w:lvl w:ilvl="1" w:tentative="0">
      <w:start w:val="1"/>
      <w:numFmt w:val="lowerLetter"/>
      <w:lvlText w:val="%2)"/>
      <w:lvlJc w:val="left"/>
      <w:pPr>
        <w:ind w:left="1394" w:hanging="420"/>
      </w:pPr>
    </w:lvl>
    <w:lvl w:ilvl="2" w:tentative="0">
      <w:start w:val="1"/>
      <w:numFmt w:val="lowerRoman"/>
      <w:lvlText w:val="%3."/>
      <w:lvlJc w:val="right"/>
      <w:pPr>
        <w:ind w:left="1814" w:hanging="420"/>
      </w:pPr>
    </w:lvl>
    <w:lvl w:ilvl="3" w:tentative="0">
      <w:start w:val="1"/>
      <w:numFmt w:val="decimal"/>
      <w:lvlText w:val="%4."/>
      <w:lvlJc w:val="left"/>
      <w:pPr>
        <w:ind w:left="2234" w:hanging="420"/>
      </w:pPr>
    </w:lvl>
    <w:lvl w:ilvl="4" w:tentative="0">
      <w:start w:val="1"/>
      <w:numFmt w:val="lowerLetter"/>
      <w:lvlText w:val="%5)"/>
      <w:lvlJc w:val="left"/>
      <w:pPr>
        <w:ind w:left="2654" w:hanging="420"/>
      </w:pPr>
    </w:lvl>
    <w:lvl w:ilvl="5" w:tentative="0">
      <w:start w:val="1"/>
      <w:numFmt w:val="lowerRoman"/>
      <w:lvlText w:val="%6."/>
      <w:lvlJc w:val="right"/>
      <w:pPr>
        <w:ind w:left="3074" w:hanging="420"/>
      </w:pPr>
    </w:lvl>
    <w:lvl w:ilvl="6" w:tentative="0">
      <w:start w:val="1"/>
      <w:numFmt w:val="decimal"/>
      <w:lvlText w:val="%7."/>
      <w:lvlJc w:val="left"/>
      <w:pPr>
        <w:ind w:left="3494" w:hanging="420"/>
      </w:pPr>
    </w:lvl>
    <w:lvl w:ilvl="7" w:tentative="0">
      <w:start w:val="1"/>
      <w:numFmt w:val="lowerLetter"/>
      <w:lvlText w:val="%8)"/>
      <w:lvlJc w:val="left"/>
      <w:pPr>
        <w:ind w:left="3914" w:hanging="420"/>
      </w:pPr>
    </w:lvl>
    <w:lvl w:ilvl="8" w:tentative="0">
      <w:start w:val="1"/>
      <w:numFmt w:val="lowerRoman"/>
      <w:lvlText w:val="%9."/>
      <w:lvlJc w:val="right"/>
      <w:pPr>
        <w:ind w:left="4334"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M2NTK1NDIzMDM0NTFU0lEKTi0uzszPAykwNK4FAOc7UpstAAAA"/>
    <w:docVar w:name="commondata" w:val="eyJoZGlkIjoiODYwYWFmNmNiYjcwYjY3NzIwMmI1NDI2YjBmMzQ5YjMifQ=="/>
  </w:docVars>
  <w:rsids>
    <w:rsidRoot w:val="00446897"/>
    <w:rsid w:val="00014B93"/>
    <w:rsid w:val="00022DA0"/>
    <w:rsid w:val="00030FC1"/>
    <w:rsid w:val="000441ED"/>
    <w:rsid w:val="000722C8"/>
    <w:rsid w:val="00076C78"/>
    <w:rsid w:val="000812AC"/>
    <w:rsid w:val="000831F5"/>
    <w:rsid w:val="0009102B"/>
    <w:rsid w:val="00091770"/>
    <w:rsid w:val="00092442"/>
    <w:rsid w:val="000B2DB2"/>
    <w:rsid w:val="000C217E"/>
    <w:rsid w:val="000C3CA0"/>
    <w:rsid w:val="000D0696"/>
    <w:rsid w:val="000D0D7C"/>
    <w:rsid w:val="000D6595"/>
    <w:rsid w:val="000E43E3"/>
    <w:rsid w:val="000E49AE"/>
    <w:rsid w:val="000E50F5"/>
    <w:rsid w:val="00110400"/>
    <w:rsid w:val="0012231D"/>
    <w:rsid w:val="001315C4"/>
    <w:rsid w:val="00134C1F"/>
    <w:rsid w:val="0013709C"/>
    <w:rsid w:val="00142B12"/>
    <w:rsid w:val="00143D01"/>
    <w:rsid w:val="001654B3"/>
    <w:rsid w:val="001762FC"/>
    <w:rsid w:val="00194542"/>
    <w:rsid w:val="001A3DBA"/>
    <w:rsid w:val="001B393D"/>
    <w:rsid w:val="001C1449"/>
    <w:rsid w:val="001D3777"/>
    <w:rsid w:val="0022446E"/>
    <w:rsid w:val="00230D23"/>
    <w:rsid w:val="002539D9"/>
    <w:rsid w:val="002658FD"/>
    <w:rsid w:val="00274383"/>
    <w:rsid w:val="00277AEE"/>
    <w:rsid w:val="002B7A90"/>
    <w:rsid w:val="002C33A9"/>
    <w:rsid w:val="002F7908"/>
    <w:rsid w:val="00312010"/>
    <w:rsid w:val="0032373B"/>
    <w:rsid w:val="003346C6"/>
    <w:rsid w:val="003577CA"/>
    <w:rsid w:val="003639D4"/>
    <w:rsid w:val="00373E42"/>
    <w:rsid w:val="0039304D"/>
    <w:rsid w:val="003B2414"/>
    <w:rsid w:val="003B56F6"/>
    <w:rsid w:val="003C52CD"/>
    <w:rsid w:val="003E1D83"/>
    <w:rsid w:val="003F07CE"/>
    <w:rsid w:val="00413289"/>
    <w:rsid w:val="00446897"/>
    <w:rsid w:val="004702F3"/>
    <w:rsid w:val="00473FC7"/>
    <w:rsid w:val="004916CF"/>
    <w:rsid w:val="00493357"/>
    <w:rsid w:val="0049546F"/>
    <w:rsid w:val="004B1A5D"/>
    <w:rsid w:val="004B520E"/>
    <w:rsid w:val="004C0A15"/>
    <w:rsid w:val="004D271C"/>
    <w:rsid w:val="005178BA"/>
    <w:rsid w:val="00545FB2"/>
    <w:rsid w:val="00587E2F"/>
    <w:rsid w:val="00594FD4"/>
    <w:rsid w:val="005B3F4B"/>
    <w:rsid w:val="00620866"/>
    <w:rsid w:val="00627380"/>
    <w:rsid w:val="006678F9"/>
    <w:rsid w:val="00685A23"/>
    <w:rsid w:val="00697236"/>
    <w:rsid w:val="006A7FAE"/>
    <w:rsid w:val="006C580C"/>
    <w:rsid w:val="006D14B4"/>
    <w:rsid w:val="006D4540"/>
    <w:rsid w:val="006F54BB"/>
    <w:rsid w:val="007021A5"/>
    <w:rsid w:val="00706DC0"/>
    <w:rsid w:val="007332C4"/>
    <w:rsid w:val="0076500D"/>
    <w:rsid w:val="0078510E"/>
    <w:rsid w:val="00792B8C"/>
    <w:rsid w:val="007A5FDE"/>
    <w:rsid w:val="007A7341"/>
    <w:rsid w:val="007E4DD3"/>
    <w:rsid w:val="007F1AE5"/>
    <w:rsid w:val="007F5F9A"/>
    <w:rsid w:val="00837EB6"/>
    <w:rsid w:val="00845053"/>
    <w:rsid w:val="0085019A"/>
    <w:rsid w:val="00873A61"/>
    <w:rsid w:val="00880392"/>
    <w:rsid w:val="00890BD1"/>
    <w:rsid w:val="008B57B2"/>
    <w:rsid w:val="008C73AD"/>
    <w:rsid w:val="008E0C60"/>
    <w:rsid w:val="008E5689"/>
    <w:rsid w:val="009004BE"/>
    <w:rsid w:val="00903B39"/>
    <w:rsid w:val="00941411"/>
    <w:rsid w:val="0095701E"/>
    <w:rsid w:val="009730C3"/>
    <w:rsid w:val="009857FC"/>
    <w:rsid w:val="00993365"/>
    <w:rsid w:val="009A18A6"/>
    <w:rsid w:val="009D2DBC"/>
    <w:rsid w:val="00A069A9"/>
    <w:rsid w:val="00A46F94"/>
    <w:rsid w:val="00A70CA1"/>
    <w:rsid w:val="00A81A51"/>
    <w:rsid w:val="00AC05D9"/>
    <w:rsid w:val="00AF3643"/>
    <w:rsid w:val="00B00EE3"/>
    <w:rsid w:val="00B05245"/>
    <w:rsid w:val="00B2110C"/>
    <w:rsid w:val="00B24119"/>
    <w:rsid w:val="00B55360"/>
    <w:rsid w:val="00B6742F"/>
    <w:rsid w:val="00B822A9"/>
    <w:rsid w:val="00B84331"/>
    <w:rsid w:val="00B94C08"/>
    <w:rsid w:val="00BD2DD5"/>
    <w:rsid w:val="00BE0271"/>
    <w:rsid w:val="00C0736E"/>
    <w:rsid w:val="00C559BF"/>
    <w:rsid w:val="00C56C0D"/>
    <w:rsid w:val="00C678BC"/>
    <w:rsid w:val="00C731BD"/>
    <w:rsid w:val="00CB578F"/>
    <w:rsid w:val="00CE354F"/>
    <w:rsid w:val="00D1040A"/>
    <w:rsid w:val="00D340F5"/>
    <w:rsid w:val="00D7158C"/>
    <w:rsid w:val="00D92BDC"/>
    <w:rsid w:val="00DB5BD1"/>
    <w:rsid w:val="00DD294D"/>
    <w:rsid w:val="00E06206"/>
    <w:rsid w:val="00E17BEA"/>
    <w:rsid w:val="00E52D6E"/>
    <w:rsid w:val="00E62201"/>
    <w:rsid w:val="00E65F0F"/>
    <w:rsid w:val="00E66FA3"/>
    <w:rsid w:val="00E7470F"/>
    <w:rsid w:val="00ED1F1F"/>
    <w:rsid w:val="00ED4C73"/>
    <w:rsid w:val="00F1042C"/>
    <w:rsid w:val="00F320BA"/>
    <w:rsid w:val="00F41497"/>
    <w:rsid w:val="00F437A1"/>
    <w:rsid w:val="00F457C6"/>
    <w:rsid w:val="00F53166"/>
    <w:rsid w:val="00F55E42"/>
    <w:rsid w:val="00F65FA6"/>
    <w:rsid w:val="00F86FEF"/>
    <w:rsid w:val="00F91286"/>
    <w:rsid w:val="00F96CBF"/>
    <w:rsid w:val="00FA50A1"/>
    <w:rsid w:val="00FC6694"/>
    <w:rsid w:val="00FE61C6"/>
    <w:rsid w:val="00FF522A"/>
    <w:rsid w:val="036941E7"/>
    <w:rsid w:val="13A50574"/>
    <w:rsid w:val="49AB7750"/>
    <w:rsid w:val="58957A3A"/>
    <w:rsid w:val="60194FC5"/>
    <w:rsid w:val="69F727C1"/>
    <w:rsid w:val="72663F73"/>
    <w:rsid w:val="79A0479A"/>
    <w:rsid w:val="7D6733BC"/>
    <w:rsid w:val="D5DD88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6" w:lineRule="auto"/>
      <w:ind w:left="490" w:hanging="10"/>
    </w:pPr>
    <w:rPr>
      <w:rFonts w:ascii="仿宋" w:hAnsi="仿宋" w:eastAsia="仿宋" w:cs="仿宋"/>
      <w:color w:val="000000"/>
      <w:kern w:val="2"/>
      <w:sz w:val="24"/>
      <w:szCs w:val="22"/>
      <w:lang w:val="en-US" w:eastAsia="zh-CN" w:bidi="ar-SA"/>
    </w:rPr>
  </w:style>
  <w:style w:type="paragraph" w:styleId="2">
    <w:name w:val="heading 1"/>
    <w:next w:val="1"/>
    <w:link w:val="11"/>
    <w:qFormat/>
    <w:uiPriority w:val="9"/>
    <w:pPr>
      <w:keepNext/>
      <w:keepLines/>
      <w:spacing w:after="134" w:line="259" w:lineRule="auto"/>
      <w:ind w:left="564" w:hanging="10"/>
      <w:outlineLvl w:val="0"/>
    </w:pPr>
    <w:rPr>
      <w:rFonts w:ascii="黑体" w:hAnsi="黑体" w:eastAsia="黑体" w:cs="黑体"/>
      <w:kern w:val="2"/>
      <w:sz w:val="28"/>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style>
  <w:style w:type="paragraph" w:styleId="4">
    <w:name w:val="Balloon Text"/>
    <w:basedOn w:val="1"/>
    <w:link w:val="16"/>
    <w:semiHidden/>
    <w:unhideWhenUsed/>
    <w:qFormat/>
    <w:uiPriority w:val="99"/>
    <w:pPr>
      <w:spacing w:after="0" w:line="240" w:lineRule="auto"/>
    </w:pPr>
    <w:rPr>
      <w:sz w:val="18"/>
      <w:szCs w:val="18"/>
    </w:rPr>
  </w:style>
  <w:style w:type="paragraph" w:styleId="5">
    <w:name w:val="footer"/>
    <w:basedOn w:val="1"/>
    <w:link w:val="18"/>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1 字符"/>
    <w:basedOn w:val="9"/>
    <w:link w:val="2"/>
    <w:qFormat/>
    <w:uiPriority w:val="9"/>
    <w:rPr>
      <w:rFonts w:ascii="黑体" w:hAnsi="黑体" w:eastAsia="黑体" w:cs="黑体"/>
      <w:kern w:val="2"/>
      <w:sz w:val="28"/>
      <w:szCs w:val="22"/>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批注文字 字符"/>
    <w:basedOn w:val="9"/>
    <w:link w:val="3"/>
    <w:semiHidden/>
    <w:qFormat/>
    <w:uiPriority w:val="99"/>
    <w:rPr>
      <w:rFonts w:ascii="仿宋" w:hAnsi="仿宋" w:eastAsia="仿宋" w:cs="仿宋"/>
      <w:color w:val="000000"/>
      <w:sz w:val="24"/>
    </w:rPr>
  </w:style>
  <w:style w:type="character" w:customStyle="1" w:styleId="14">
    <w:name w:val="批注主题 字符"/>
    <w:basedOn w:val="13"/>
    <w:link w:val="7"/>
    <w:semiHidden/>
    <w:qFormat/>
    <w:uiPriority w:val="99"/>
    <w:rPr>
      <w:rFonts w:ascii="仿宋" w:hAnsi="仿宋" w:eastAsia="仿宋" w:cs="仿宋"/>
      <w:b/>
      <w:bCs/>
      <w:color w:val="000000"/>
      <w:sz w:val="24"/>
    </w:rPr>
  </w:style>
  <w:style w:type="paragraph" w:customStyle="1" w:styleId="15">
    <w:name w:val="Revision1"/>
    <w:hidden/>
    <w:semiHidden/>
    <w:qFormat/>
    <w:uiPriority w:val="99"/>
    <w:rPr>
      <w:rFonts w:ascii="仿宋" w:hAnsi="仿宋" w:eastAsia="仿宋" w:cs="仿宋"/>
      <w:color w:val="000000"/>
      <w:kern w:val="2"/>
      <w:sz w:val="24"/>
      <w:szCs w:val="22"/>
      <w:lang w:val="en-US" w:eastAsia="zh-CN" w:bidi="ar-SA"/>
    </w:rPr>
  </w:style>
  <w:style w:type="character" w:customStyle="1" w:styleId="16">
    <w:name w:val="批注框文本 字符"/>
    <w:basedOn w:val="9"/>
    <w:link w:val="4"/>
    <w:semiHidden/>
    <w:qFormat/>
    <w:uiPriority w:val="99"/>
    <w:rPr>
      <w:rFonts w:ascii="仿宋" w:hAnsi="仿宋" w:eastAsia="仿宋" w:cs="仿宋"/>
      <w:color w:val="000000"/>
      <w:sz w:val="18"/>
      <w:szCs w:val="18"/>
    </w:rPr>
  </w:style>
  <w:style w:type="character" w:customStyle="1" w:styleId="17">
    <w:name w:val="页眉 字符"/>
    <w:basedOn w:val="9"/>
    <w:link w:val="6"/>
    <w:qFormat/>
    <w:uiPriority w:val="99"/>
    <w:rPr>
      <w:rFonts w:ascii="仿宋" w:hAnsi="仿宋" w:eastAsia="仿宋" w:cs="仿宋"/>
      <w:color w:val="000000"/>
      <w:sz w:val="18"/>
      <w:szCs w:val="18"/>
    </w:rPr>
  </w:style>
  <w:style w:type="character" w:customStyle="1" w:styleId="18">
    <w:name w:val="页脚 字符"/>
    <w:basedOn w:val="9"/>
    <w:link w:val="5"/>
    <w:qFormat/>
    <w:uiPriority w:val="99"/>
    <w:rPr>
      <w:rFonts w:ascii="仿宋" w:hAnsi="仿宋" w:eastAsia="仿宋" w:cs="仿宋"/>
      <w:color w:val="000000"/>
      <w:sz w:val="18"/>
      <w:szCs w:val="18"/>
    </w:rPr>
  </w:style>
  <w:style w:type="paragraph" w:styleId="19">
    <w:name w:val="List Paragraph"/>
    <w:basedOn w:val="1"/>
    <w:qFormat/>
    <w:uiPriority w:val="99"/>
    <w:pPr>
      <w:ind w:firstLine="420" w:firstLineChars="200"/>
    </w:pPr>
  </w:style>
  <w:style w:type="paragraph" w:customStyle="1" w:styleId="20">
    <w:name w:val="修订1"/>
    <w:hidden/>
    <w:unhideWhenUsed/>
    <w:qFormat/>
    <w:uiPriority w:val="99"/>
    <w:rPr>
      <w:rFonts w:ascii="仿宋" w:hAnsi="仿宋" w:eastAsia="仿宋" w:cs="仿宋"/>
      <w:color w:val="000000"/>
      <w:kern w:val="2"/>
      <w:sz w:val="24"/>
      <w:szCs w:val="22"/>
      <w:lang w:val="en-US" w:eastAsia="zh-CN" w:bidi="ar-SA"/>
    </w:rPr>
  </w:style>
  <w:style w:type="paragraph" w:customStyle="1" w:styleId="21">
    <w:name w:val="paragraph"/>
    <w:basedOn w:val="1"/>
    <w:semiHidden/>
    <w:qFormat/>
    <w:uiPriority w:val="0"/>
    <w:pPr>
      <w:spacing w:before="100" w:beforeAutospacing="1" w:after="100" w:afterAutospacing="1" w:line="240" w:lineRule="auto"/>
      <w:ind w:left="0" w:firstLine="0"/>
    </w:pPr>
    <w:rPr>
      <w:rFonts w:ascii="等线" w:hAnsi="等线" w:eastAsia="等线" w:cs="Times New Roman"/>
      <w:color w:val="auto"/>
      <w:kern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9F82-AA0C-4EB3-B731-48FC9D75421D}">
  <ds:schemaRefs/>
</ds:datastoreItem>
</file>

<file path=docProps/app.xml><?xml version="1.0" encoding="utf-8"?>
<Properties xmlns="http://schemas.openxmlformats.org/officeDocument/2006/extended-properties" xmlns:vt="http://schemas.openxmlformats.org/officeDocument/2006/docPropsVTypes">
  <Template>Normal</Template>
  <Company>上海理工大学</Company>
  <Pages>8</Pages>
  <Words>5784</Words>
  <Characters>6064</Characters>
  <Lines>145</Lines>
  <Paragraphs>118</Paragraphs>
  <TotalTime>90</TotalTime>
  <ScaleCrop>false</ScaleCrop>
  <LinksUpToDate>false</LinksUpToDate>
  <CharactersWithSpaces>6143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2024-04-09T10:20:00Z</dcterms:created>
  <dc:creator>JIE</dc:creator>
  <cp:lastModifiedBy>靓</cp:lastModifiedBy>
  <cp:lastPrinted>2024-04-01T14:47:00Z</cp:lastPrinted>
  <dcterms:modified xsi:type="dcterms:W3CDTF">2025-05-13T07:40:31Z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D9EA626ABFD148D8A5D919B420F55132_12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GrammarlyDocumentId">
    <vt:lpwstr>1411f1f0ed790d75068eecea0cf949d9a28aec59698f4691065a3b61aa6659cc</vt:lpwstr>
  </property>
  <property fmtid="{D5CDD505-2E9C-101B-9397-08002B2CF9AE}" pid="25" name="KSOTemplateDocerSaveRecord">
    <vt:lpwstr>eyJoZGlkIjoiNDZhZDAyMzI2ZmRiYzY5YTk3ZDk0OTEzOGY4Y2Y3NWMiLCJ1c2VySWQiOiI2MjU2NjczODcifQ==</vt:lpwstr>
  </property>
</Properties>
</file>