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8B976">
      <w:pPr>
        <w:spacing w:after="404" w:line="259" w:lineRule="auto"/>
        <w:ind w:left="0" w:right="242" w:firstLine="0"/>
        <w:jc w:val="center"/>
        <w:rPr>
          <w:rFonts w:ascii="黑体" w:hAnsi="黑体" w:eastAsia="黑体" w:cs="黑体"/>
          <w:sz w:val="36"/>
        </w:rPr>
      </w:pPr>
      <w:r>
        <w:rPr>
          <w:rFonts w:hint="eastAsia" w:ascii="黑体" w:hAnsi="黑体" w:eastAsia="黑体" w:cs="黑体"/>
          <w:sz w:val="36"/>
          <w:lang w:val="en-US" w:eastAsia="zh-CN"/>
        </w:rPr>
        <w:t xml:space="preserve"> </w:t>
      </w:r>
      <w:r>
        <w:rPr>
          <w:rFonts w:hint="eastAsia" w:ascii="黑体" w:hAnsi="黑体" w:eastAsia="黑体" w:cs="黑体"/>
          <w:sz w:val="36"/>
        </w:rPr>
        <w:t>上海理工大学</w:t>
      </w:r>
      <w:r>
        <w:rPr>
          <w:rFonts w:hint="eastAsia" w:ascii="黑体" w:hAnsi="黑体" w:eastAsia="黑体" w:cs="黑体"/>
          <w:sz w:val="36"/>
          <w:lang w:eastAsia="zh-CN"/>
        </w:rPr>
        <w:t>《</w:t>
      </w:r>
      <w:r>
        <w:rPr>
          <w:rFonts w:ascii="黑体" w:hAnsi="黑体" w:eastAsia="黑体" w:cs="黑体"/>
          <w:sz w:val="36"/>
        </w:rPr>
        <w:t>AI+绿色化学与碳</w:t>
      </w:r>
      <w:r>
        <w:rPr>
          <w:rFonts w:hint="eastAsia" w:ascii="黑体" w:hAnsi="黑体" w:eastAsia="黑体" w:cs="黑体"/>
          <w:sz w:val="36"/>
          <w:lang w:val="en-US" w:eastAsia="zh-CN"/>
        </w:rPr>
        <w:t>计量</w:t>
      </w:r>
      <w:r>
        <w:rPr>
          <w:rFonts w:ascii="黑体" w:hAnsi="黑体" w:eastAsia="黑体" w:cs="黑体"/>
          <w:sz w:val="36"/>
        </w:rPr>
        <w:t>管理</w:t>
      </w:r>
      <w:r>
        <w:rPr>
          <w:rFonts w:hint="eastAsia" w:ascii="黑体" w:hAnsi="黑体" w:eastAsia="黑体" w:cs="黑体"/>
          <w:sz w:val="36"/>
          <w:lang w:eastAsia="zh-CN"/>
        </w:rPr>
        <w:t>》</w:t>
      </w:r>
      <w:r>
        <w:rPr>
          <w:rFonts w:hint="eastAsia" w:ascii="黑体" w:hAnsi="黑体" w:eastAsia="黑体" w:cs="黑体"/>
          <w:sz w:val="36"/>
        </w:rPr>
        <w:t>研究生</w:t>
      </w:r>
      <w:r>
        <w:rPr>
          <w:rFonts w:ascii="黑体" w:hAnsi="黑体" w:eastAsia="黑体" w:cs="黑体"/>
          <w:sz w:val="36"/>
        </w:rPr>
        <w:t>微专业</w:t>
      </w:r>
      <w:r>
        <w:rPr>
          <w:rFonts w:hint="eastAsia" w:ascii="黑体" w:hAnsi="黑体" w:eastAsia="黑体" w:cs="黑体"/>
          <w:sz w:val="36"/>
        </w:rPr>
        <w:t>培养方案</w:t>
      </w:r>
    </w:p>
    <w:p w14:paraId="4DA1BEF7">
      <w:pPr>
        <w:spacing w:after="404" w:line="259" w:lineRule="auto"/>
        <w:ind w:left="0" w:right="242" w:firstLine="0"/>
        <w:jc w:val="center"/>
      </w:pPr>
      <w:r>
        <w:rPr>
          <w:rFonts w:hint="eastAsia"/>
        </w:rPr>
        <w:t>专业负责人：张淑平教授</w:t>
      </w:r>
      <w:r>
        <w:rPr>
          <w:rFonts w:hint="eastAsia"/>
          <w:lang w:val="en-US" w:eastAsia="zh-CN"/>
        </w:rPr>
        <w:t xml:space="preserve">         </w:t>
      </w:r>
      <w:r>
        <w:t xml:space="preserve"> </w:t>
      </w:r>
      <w:r>
        <w:rPr>
          <w:rFonts w:hint="eastAsia"/>
        </w:rPr>
        <w:t>材料与化学学院</w:t>
      </w:r>
    </w:p>
    <w:p w14:paraId="3744F640">
      <w:pPr>
        <w:pStyle w:val="2"/>
        <w:numPr>
          <w:ilvl w:val="0"/>
          <w:numId w:val="1"/>
        </w:numPr>
      </w:pPr>
      <w:r>
        <w:t>微专业简介</w:t>
      </w:r>
    </w:p>
    <w:p w14:paraId="533963C0">
      <w:pPr>
        <w:ind w:left="0" w:leftChars="0" w:firstLine="480" w:firstLineChars="200"/>
        <w:jc w:val="both"/>
        <w:rPr>
          <w:rFonts w:hint="eastAsia"/>
          <w:lang w:val="en-US" w:eastAsia="zh-CN"/>
        </w:rPr>
      </w:pPr>
      <w:bookmarkStart w:id="0" w:name="OLE_LINK3"/>
      <w:bookmarkStart w:id="1" w:name="OLE_LINK2"/>
      <w:r>
        <w:rPr>
          <w:rFonts w:hint="eastAsia"/>
          <w:color w:val="auto"/>
          <w:lang w:eastAsia="zh-CN"/>
        </w:rPr>
        <w:t>《</w:t>
      </w:r>
      <w:r>
        <w:rPr>
          <w:color w:val="auto"/>
        </w:rPr>
        <w:t>AI+绿色化学</w:t>
      </w:r>
      <w:r>
        <w:rPr>
          <w:rFonts w:hint="eastAsia"/>
          <w:color w:val="auto"/>
        </w:rPr>
        <w:t>与碳</w:t>
      </w:r>
      <w:r>
        <w:rPr>
          <w:rFonts w:hint="eastAsia"/>
          <w:color w:val="auto"/>
          <w:lang w:val="en-US" w:eastAsia="zh-CN"/>
        </w:rPr>
        <w:t>计量</w:t>
      </w:r>
      <w:r>
        <w:rPr>
          <w:rFonts w:hint="eastAsia"/>
          <w:color w:val="auto"/>
        </w:rPr>
        <w:t>管理</w:t>
      </w:r>
      <w:r>
        <w:rPr>
          <w:rFonts w:hint="eastAsia"/>
          <w:color w:val="auto"/>
          <w:lang w:eastAsia="zh-CN"/>
        </w:rPr>
        <w:t>》</w:t>
      </w:r>
      <w:bookmarkEnd w:id="0"/>
      <w:r>
        <w:rPr>
          <w:rFonts w:hint="eastAsia"/>
          <w:color w:val="auto"/>
        </w:rPr>
        <w:t>微专业</w:t>
      </w:r>
      <w:bookmarkEnd w:id="1"/>
      <w:r>
        <w:rPr>
          <w:rFonts w:hint="eastAsia"/>
          <w:color w:val="auto"/>
          <w:lang w:val="en-US" w:eastAsia="zh-CN"/>
        </w:rPr>
        <w:t>联合“上海电缆研究所有限公司培训中心”、“</w:t>
      </w:r>
      <w:r>
        <w:rPr>
          <w:rFonts w:hint="eastAsia"/>
          <w:lang w:val="en-US" w:eastAsia="zh-CN"/>
        </w:rPr>
        <w:t>上海华谊环保科技有限公司”、“上海市化工环境保护监测站”等行业龙头企业及专家联合牵头共同开办。</w:t>
      </w:r>
    </w:p>
    <w:p w14:paraId="52F1ECCB">
      <w:pPr>
        <w:ind w:left="0" w:leftChars="0" w:firstLine="480" w:firstLineChars="200"/>
        <w:jc w:val="both"/>
        <w:rPr>
          <w:rFonts w:hint="eastAsia"/>
          <w:lang w:eastAsia="zh-CN"/>
        </w:rPr>
      </w:pPr>
      <w:r>
        <w:rPr>
          <w:rFonts w:hint="eastAsia"/>
          <w:color w:val="auto"/>
        </w:rPr>
        <w:t>立足国家</w:t>
      </w:r>
      <w:r>
        <w:rPr>
          <w:rFonts w:hint="eastAsia"/>
        </w:rPr>
        <w:t>“双碳”战略与</w:t>
      </w:r>
      <w:r>
        <w:rPr>
          <w:rFonts w:hint="eastAsia"/>
          <w:lang w:val="en-US" w:eastAsia="zh-CN"/>
        </w:rPr>
        <w:t>智能</w:t>
      </w:r>
      <w:r>
        <w:rPr>
          <w:rFonts w:hint="eastAsia"/>
        </w:rPr>
        <w:t>绿色化学工程转型需求，以绿色化学为基础、智能制造为引擎、人工智能（AI）为核心赋能工具，瞄准化学过程中的绿色化学过程、碳</w:t>
      </w:r>
      <w:r>
        <w:rPr>
          <w:rFonts w:hint="eastAsia"/>
          <w:lang w:val="en-US" w:eastAsia="zh-CN"/>
        </w:rPr>
        <w:t>计量</w:t>
      </w:r>
      <w:r>
        <w:rPr>
          <w:rFonts w:hint="eastAsia"/>
        </w:rPr>
        <w:t>管理和安全管理，</w:t>
      </w:r>
      <w:r>
        <w:t>通过</w:t>
      </w:r>
      <w:r>
        <w:rPr>
          <w:rFonts w:hint="eastAsia"/>
        </w:rPr>
        <w:t>构建“学科交叉</w:t>
      </w:r>
      <w:r>
        <w:t>+技术融合+产教协同”的创新培养体系</w:t>
      </w:r>
      <w:r>
        <w:rPr>
          <w:rFonts w:hint="eastAsia"/>
          <w:lang w:eastAsia="zh-CN"/>
        </w:rPr>
        <w:t>，</w:t>
      </w:r>
      <w:r>
        <w:t>设计一套完整的课程体系，培养全面掌握在绿色化学和化工过程中具备AI赋能的个性化和专业化人才</w:t>
      </w:r>
      <w:r>
        <w:rPr>
          <w:rFonts w:hint="eastAsia"/>
        </w:rPr>
        <w:t>，特别是在化工过程的借助AI赋能实现碳</w:t>
      </w:r>
      <w:r>
        <w:rPr>
          <w:rFonts w:hint="eastAsia"/>
          <w:lang w:val="en-US" w:eastAsia="zh-CN"/>
        </w:rPr>
        <w:t>计量</w:t>
      </w:r>
      <w:r>
        <w:rPr>
          <w:rFonts w:hint="eastAsia"/>
        </w:rPr>
        <w:t>管理和安全生产和检测的智能化应用。</w:t>
      </w:r>
      <w:r>
        <w:t>专业融合</w:t>
      </w:r>
      <w:r>
        <w:rPr>
          <w:rFonts w:hint="eastAsia"/>
        </w:rPr>
        <w:t>绿色</w:t>
      </w:r>
      <w:r>
        <w:t>化学和化工过程的真实需求灵活设置专业课程，注重理论与实践结合，培养</w:t>
      </w:r>
      <w:r>
        <w:rPr>
          <w:rFonts w:hint="eastAsia"/>
        </w:rPr>
        <w:t>学生掌握绿色化学过程核心工艺、智能制造关键技术，</w:t>
      </w:r>
      <w:r>
        <w:rPr>
          <w:rFonts w:hint="eastAsia"/>
          <w:lang w:val="en-US" w:eastAsia="zh-CN"/>
        </w:rPr>
        <w:t>成为</w:t>
      </w:r>
      <w:r>
        <w:rPr>
          <w:rFonts w:hint="eastAsia"/>
        </w:rPr>
        <w:t>绿色化学研究领域和工程应用领域可以灵活运用AI手段赋能的高层次复合型人才</w:t>
      </w:r>
      <w:r>
        <w:rPr>
          <w:rFonts w:hint="eastAsia"/>
          <w:lang w:eastAsia="zh-CN"/>
        </w:rPr>
        <w:t>，</w:t>
      </w:r>
      <w:r>
        <w:rPr>
          <w:rFonts w:hint="eastAsia"/>
          <w:color w:val="000000" w:themeColor="text1"/>
          <w14:textFill>
            <w14:solidFill>
              <w14:schemeClr w14:val="tx1"/>
            </w14:solidFill>
          </w14:textFill>
        </w:rPr>
        <w:t>为新能源、新材料、高端制造</w:t>
      </w:r>
      <w:r>
        <w:rPr>
          <w:rFonts w:hint="eastAsia"/>
          <w:color w:val="000000" w:themeColor="text1"/>
          <w:lang w:val="en-US" w:eastAsia="zh-CN"/>
          <w14:textFill>
            <w14:solidFill>
              <w14:schemeClr w14:val="tx1"/>
            </w14:solidFill>
          </w14:textFill>
        </w:rPr>
        <w:t>及智能化工</w:t>
      </w:r>
      <w:r>
        <w:rPr>
          <w:rFonts w:hint="eastAsia"/>
          <w:color w:val="000000" w:themeColor="text1"/>
          <w14:textFill>
            <w14:solidFill>
              <w14:schemeClr w14:val="tx1"/>
            </w14:solidFill>
          </w14:textFill>
        </w:rPr>
        <w:t>等新兴领域培养储备人才，</w:t>
      </w:r>
      <w:r>
        <w:t>助力研究生拓展职业发展路径，服务国家绿色低碳转型与产业智能化升级需求</w:t>
      </w:r>
      <w:r>
        <w:rPr>
          <w:rFonts w:hint="eastAsia"/>
          <w:lang w:eastAsia="zh-CN"/>
        </w:rPr>
        <w:t>。</w:t>
      </w:r>
    </w:p>
    <w:p w14:paraId="727D65EF">
      <w:pPr>
        <w:ind w:left="0" w:leftChars="0" w:firstLine="480" w:firstLineChars="200"/>
        <w:jc w:val="both"/>
      </w:pPr>
      <w:r>
        <w:rPr>
          <w:rFonts w:hint="eastAsia"/>
          <w:lang w:val="en-US" w:eastAsia="zh-CN"/>
        </w:rPr>
        <w:t>在成绩认定方面，探索校企共同参与教学及管理过程，完成学分后，发放</w:t>
      </w:r>
      <w:r>
        <w:rPr>
          <w:rFonts w:hint="eastAsia"/>
          <w:color w:val="auto"/>
          <w:lang w:eastAsia="zh-CN"/>
        </w:rPr>
        <w:t>《</w:t>
      </w:r>
      <w:r>
        <w:rPr>
          <w:color w:val="auto"/>
        </w:rPr>
        <w:t>AI+绿色化学</w:t>
      </w:r>
      <w:r>
        <w:rPr>
          <w:rFonts w:hint="eastAsia"/>
          <w:color w:val="auto"/>
        </w:rPr>
        <w:t>与碳</w:t>
      </w:r>
      <w:r>
        <w:rPr>
          <w:rFonts w:hint="eastAsia"/>
          <w:color w:val="auto"/>
          <w:lang w:val="en-US" w:eastAsia="zh-CN"/>
        </w:rPr>
        <w:t>计量</w:t>
      </w:r>
      <w:r>
        <w:rPr>
          <w:rFonts w:hint="eastAsia"/>
          <w:color w:val="auto"/>
        </w:rPr>
        <w:t>管理</w:t>
      </w:r>
      <w:r>
        <w:rPr>
          <w:rFonts w:hint="eastAsia"/>
          <w:color w:val="auto"/>
          <w:lang w:eastAsia="zh-CN"/>
        </w:rPr>
        <w:t>》</w:t>
      </w:r>
      <w:r>
        <w:rPr>
          <w:rFonts w:hint="eastAsia"/>
          <w:color w:val="auto"/>
          <w:lang w:val="en-US" w:eastAsia="zh-CN"/>
        </w:rPr>
        <w:t>的</w:t>
      </w:r>
      <w:r>
        <w:rPr>
          <w:rFonts w:hint="eastAsia"/>
          <w:lang w:val="en-US" w:eastAsia="zh-CN"/>
        </w:rPr>
        <w:t>“微专业证书”+“企业实践证书”双证制度</w:t>
      </w:r>
      <w:r>
        <w:rPr>
          <w:rFonts w:hint="eastAsia"/>
        </w:rPr>
        <w:t>。</w:t>
      </w:r>
    </w:p>
    <w:p w14:paraId="624DFA78">
      <w:pPr>
        <w:pStyle w:val="2"/>
        <w:numPr>
          <w:ilvl w:val="0"/>
          <w:numId w:val="1"/>
        </w:numPr>
      </w:pPr>
      <w:r>
        <w:t>培养目标</w:t>
      </w:r>
    </w:p>
    <w:p w14:paraId="3C173755">
      <w:pPr>
        <w:ind w:left="0" w:leftChars="0" w:firstLine="480" w:firstLineChars="200"/>
      </w:pPr>
      <w:r>
        <w:rPr>
          <w:rFonts w:hint="eastAsia"/>
        </w:rPr>
        <w:t>让学生扎实</w:t>
      </w:r>
      <w:r>
        <w:t>掌握绿色化学核心原理与智能制造关键技术，具备将AI技术（机器学习、智能优化算法）融入绿色工艺研发</w:t>
      </w:r>
      <w:r>
        <w:rPr>
          <w:rFonts w:hint="eastAsia"/>
        </w:rPr>
        <w:t>、</w:t>
      </w:r>
      <w:r>
        <w:t>生产全流程</w:t>
      </w:r>
      <w:r>
        <w:rPr>
          <w:rFonts w:hint="eastAsia"/>
        </w:rPr>
        <w:t>和化工过程中碳</w:t>
      </w:r>
      <w:r>
        <w:rPr>
          <w:rFonts w:hint="eastAsia"/>
          <w:lang w:val="en-US" w:eastAsia="zh-CN"/>
        </w:rPr>
        <w:t>计量</w:t>
      </w:r>
      <w:r>
        <w:rPr>
          <w:rFonts w:hint="eastAsia"/>
        </w:rPr>
        <w:t>管理</w:t>
      </w:r>
      <w:r>
        <w:t>的能力。培养学生运用人工智能解决资源高效利用</w:t>
      </w:r>
      <w:r>
        <w:rPr>
          <w:rFonts w:hint="eastAsia"/>
        </w:rPr>
        <w:t>、智能制造</w:t>
      </w:r>
      <w:r>
        <w:t>等复杂工程问题的思维与技能。</w:t>
      </w:r>
      <w:r>
        <w:rPr>
          <w:rFonts w:hint="eastAsia"/>
        </w:rPr>
        <w:t>同时</w:t>
      </w:r>
      <w:r>
        <w:t>联合企业开展产教融合课程（如《</w:t>
      </w:r>
      <w:r>
        <w:rPr>
          <w:rFonts w:hint="eastAsia"/>
        </w:rPr>
        <w:t>AI+智慧环境检测</w:t>
      </w:r>
      <w:r>
        <w:t>》《</w:t>
      </w:r>
      <w:r>
        <w:rPr>
          <w:rFonts w:hint="eastAsia"/>
        </w:rPr>
        <w:t>数字技术与创新实践</w:t>
      </w:r>
      <w:r>
        <w:t>》</w:t>
      </w:r>
      <w:r>
        <w:rPr>
          <w:rFonts w:hint="eastAsia"/>
        </w:rPr>
        <w:t>等</w:t>
      </w:r>
      <w:r>
        <w:t>），在真实工业场景中训练实践素养</w:t>
      </w:r>
      <w:r>
        <w:rPr>
          <w:rFonts w:hint="eastAsia"/>
        </w:rPr>
        <w:t>，</w:t>
      </w:r>
      <w:r>
        <w:t>打造产教协同的实战型人才</w:t>
      </w:r>
      <w:r>
        <w:rPr>
          <w:rFonts w:hint="eastAsia"/>
        </w:rPr>
        <w:t>，</w:t>
      </w:r>
      <w:r>
        <w:t>为</w:t>
      </w:r>
      <w:r>
        <w:rPr>
          <w:rFonts w:hint="eastAsia"/>
        </w:rPr>
        <w:t>新能源、新材料、高端制造等新兴领域</w:t>
      </w:r>
      <w:r>
        <w:t>输送兼具可持续发展理念与智能技术应用能力的高端人才，支撑绿色低碳转型与</w:t>
      </w:r>
      <w:r>
        <w:rPr>
          <w:rFonts w:hint="eastAsia"/>
        </w:rPr>
        <w:t>产业</w:t>
      </w:r>
      <w:r>
        <w:t>智能化升级。</w:t>
      </w:r>
    </w:p>
    <w:p w14:paraId="77EB715A">
      <w:pPr>
        <w:pStyle w:val="2"/>
        <w:numPr>
          <w:ilvl w:val="0"/>
          <w:numId w:val="1"/>
        </w:numPr>
      </w:pPr>
      <w:r>
        <w:rPr>
          <w:rFonts w:hint="eastAsia"/>
        </w:rPr>
        <w:t>培养对象</w:t>
      </w:r>
      <w:r>
        <w:t>及条件</w:t>
      </w:r>
    </w:p>
    <w:p w14:paraId="1036D788">
      <w:pPr>
        <w:numPr>
          <w:ilvl w:val="0"/>
          <w:numId w:val="2"/>
        </w:numPr>
        <w:ind w:firstLine="480"/>
      </w:pPr>
      <w:r>
        <w:t>招生对象：</w:t>
      </w:r>
      <w:r>
        <w:rPr>
          <w:rFonts w:hint="eastAsia"/>
        </w:rPr>
        <w:t>化学相关</w:t>
      </w:r>
      <w:r>
        <w:rPr>
          <w:rFonts w:hint="eastAsia"/>
          <w:lang w:val="en-US" w:eastAsia="zh-CN"/>
        </w:rPr>
        <w:t>专业或与化学、碳管理等交叉</w:t>
      </w:r>
      <w:r>
        <w:rPr>
          <w:rFonts w:hint="eastAsia"/>
        </w:rPr>
        <w:t>专业的</w:t>
      </w:r>
      <w:r>
        <w:t>在读研究生</w:t>
      </w:r>
    </w:p>
    <w:p w14:paraId="19C85EE5">
      <w:pPr>
        <w:numPr>
          <w:ilvl w:val="0"/>
          <w:numId w:val="2"/>
        </w:numPr>
        <w:spacing w:after="155" w:line="259" w:lineRule="auto"/>
        <w:ind w:firstLine="480"/>
      </w:pPr>
      <w:r>
        <w:t>招生人数：</w:t>
      </w:r>
      <w:r>
        <w:rPr>
          <w:rFonts w:hint="eastAsia"/>
        </w:rPr>
        <w:t>2</w:t>
      </w:r>
      <w:r>
        <w:t>0</w:t>
      </w:r>
      <w:r>
        <w:rPr>
          <w:rFonts w:hint="eastAsia"/>
          <w:lang w:val="en-US" w:eastAsia="zh-CN"/>
        </w:rPr>
        <w:t>-80</w:t>
      </w:r>
      <w:r>
        <w:t>人</w:t>
      </w:r>
    </w:p>
    <w:p w14:paraId="2C3E2EE0">
      <w:pPr>
        <w:ind w:left="0" w:leftChars="0" w:firstLine="480" w:firstLineChars="200"/>
      </w:pPr>
      <w:r>
        <w:rPr>
          <w:rFonts w:hint="eastAsia"/>
          <w:lang w:eastAsia="zh-CN"/>
        </w:rPr>
        <w:t>（</w:t>
      </w:r>
      <w:r>
        <w:rPr>
          <w:rFonts w:hint="eastAsia"/>
          <w:lang w:val="en-US" w:eastAsia="zh-CN"/>
        </w:rPr>
        <w:t>3）</w:t>
      </w:r>
      <w:r>
        <w:t>报名条件：</w:t>
      </w:r>
      <w:r>
        <w:rPr>
          <w:rFonts w:hint="eastAsia"/>
        </w:rPr>
        <w:t>学习者应具有优良的品德，身心健康，严格遵守国家的法律法规及相关规章制度；具有独立及合作开展绿色化学相关基础和应用研究的能力，能够科学地运用知识解决实际问题；具有创新意识和创新能力；能够熟练阅读本专业的外文资料；具有良好的逻辑思维能力。</w:t>
      </w:r>
    </w:p>
    <w:p w14:paraId="289B0756">
      <w:pPr>
        <w:pStyle w:val="2"/>
        <w:numPr>
          <w:ilvl w:val="0"/>
          <w:numId w:val="3"/>
        </w:numPr>
        <w:spacing w:after="0"/>
      </w:pPr>
      <w:bookmarkStart w:id="2" w:name="OLE_LINK8"/>
      <w:r>
        <w:rPr>
          <w:rFonts w:hint="eastAsia"/>
        </w:rPr>
        <w:t>核心</w:t>
      </w:r>
      <w:r>
        <w:t>课程</w:t>
      </w:r>
    </w:p>
    <w:p w14:paraId="3A69AA7A">
      <w:pPr>
        <w:ind w:left="0" w:leftChars="0" w:firstLine="480" w:firstLineChars="200"/>
        <w:rPr>
          <w:rFonts w:hint="eastAsia"/>
        </w:rPr>
      </w:pPr>
      <w:bookmarkStart w:id="3" w:name="OLE_LINK7"/>
      <w:r>
        <w:rPr>
          <w:rFonts w:hint="eastAsia"/>
        </w:rPr>
        <w:t>由</w:t>
      </w:r>
      <w:r>
        <w:rPr>
          <w:rFonts w:hint="eastAsia"/>
          <w:lang w:val="en-US" w:eastAsia="zh-CN"/>
        </w:rPr>
        <w:t>我校化学硕士点负责人张淑平教授和上海华谊环保科技有限公司董事长，上海化学工业检验检测公司董事长，华谊集团碳中和委员会秘书长刘红共同领衔，集聚材化学院</w:t>
      </w:r>
      <w:r>
        <w:rPr>
          <w:rFonts w:hint="eastAsia"/>
        </w:rPr>
        <w:t>和</w:t>
      </w:r>
      <w:r>
        <w:rPr>
          <w:rFonts w:hint="eastAsia"/>
          <w:lang w:val="en-US" w:eastAsia="zh-CN"/>
        </w:rPr>
        <w:t>等专家组和宝钢厚板事业部电气工程师王红、上海电缆所培训中心副主任许宝东等</w:t>
      </w:r>
      <w:r>
        <w:rPr>
          <w:rFonts w:hint="eastAsia"/>
        </w:rPr>
        <w:t>领衔</w:t>
      </w:r>
      <w:r>
        <w:rPr>
          <w:rFonts w:hint="eastAsia"/>
          <w:lang w:eastAsia="zh-CN"/>
        </w:rPr>
        <w:t>，</w:t>
      </w:r>
      <w:r>
        <w:rPr>
          <w:rFonts w:hint="eastAsia"/>
          <w:lang w:val="en-US" w:eastAsia="zh-CN"/>
        </w:rPr>
        <w:t>围绕国家战略需求，聚焦国家双碳战略，聚焦化工医药行业，对绿色化学过程与碳计量管理微专业进行培养方案设计，主动对接行业，改造行业，对接补充当前硕士点培养方案的热点，</w:t>
      </w:r>
      <w:r>
        <w:rPr>
          <w:rFonts w:hint="eastAsia"/>
        </w:rPr>
        <w:t>设立核心课程。</w:t>
      </w:r>
      <w:r>
        <w:rPr>
          <w:rFonts w:hint="eastAsia"/>
          <w:lang w:val="en-US" w:eastAsia="zh-CN"/>
        </w:rPr>
        <w:t>既</w:t>
      </w:r>
      <w:r>
        <w:rPr>
          <w:rFonts w:hint="eastAsia"/>
        </w:rPr>
        <w:t>注重该领域产业前沿、</w:t>
      </w:r>
      <w:r>
        <w:rPr>
          <w:rFonts w:hint="eastAsia"/>
          <w:lang w:val="en-US" w:eastAsia="zh-CN"/>
        </w:rPr>
        <w:t>又注重</w:t>
      </w:r>
      <w:r>
        <w:rPr>
          <w:rFonts w:hint="eastAsia"/>
        </w:rPr>
        <w:t>AI素养的培育，实践课程</w:t>
      </w:r>
      <w:r>
        <w:rPr>
          <w:rFonts w:hint="eastAsia"/>
          <w:lang w:val="en-US" w:eastAsia="zh-CN"/>
        </w:rPr>
        <w:t>或课程实践内容</w:t>
      </w:r>
      <w:r>
        <w:rPr>
          <w:rFonts w:hint="eastAsia"/>
        </w:rPr>
        <w:t>不少于50%。采用集中授课方式，课时长4周-5周。</w:t>
      </w:r>
    </w:p>
    <w:bookmarkEnd w:id="2"/>
    <w:bookmarkEnd w:id="3"/>
    <w:p w14:paraId="3466305F">
      <w:pPr>
        <w:rPr>
          <w:rFonts w:hint="default" w:eastAsia="仿宋"/>
          <w:lang w:val="en-US" w:eastAsia="zh-CN"/>
        </w:rPr>
      </w:pPr>
      <w:r>
        <w:rPr>
          <w:rFonts w:hint="eastAsia"/>
          <w:color w:val="auto"/>
          <w:lang w:eastAsia="zh-CN"/>
        </w:rPr>
        <w:t>《</w:t>
      </w:r>
      <w:r>
        <w:rPr>
          <w:color w:val="auto"/>
        </w:rPr>
        <w:t>AI+绿色化学</w:t>
      </w:r>
      <w:r>
        <w:rPr>
          <w:rFonts w:hint="eastAsia"/>
          <w:color w:val="auto"/>
        </w:rPr>
        <w:t>与碳</w:t>
      </w:r>
      <w:r>
        <w:rPr>
          <w:rFonts w:hint="eastAsia"/>
          <w:color w:val="auto"/>
          <w:lang w:val="en-US" w:eastAsia="zh-CN"/>
        </w:rPr>
        <w:t>计量</w:t>
      </w:r>
      <w:r>
        <w:rPr>
          <w:rFonts w:hint="eastAsia"/>
          <w:color w:val="auto"/>
        </w:rPr>
        <w:t>管理</w:t>
      </w:r>
      <w:r>
        <w:rPr>
          <w:rFonts w:hint="eastAsia"/>
          <w:color w:val="auto"/>
          <w:lang w:eastAsia="zh-CN"/>
        </w:rPr>
        <w:t>》</w:t>
      </w:r>
      <w:r>
        <w:rPr>
          <w:rFonts w:hint="eastAsia"/>
          <w:color w:val="auto"/>
        </w:rPr>
        <w:t>微专业</w:t>
      </w:r>
      <w:r>
        <w:rPr>
          <w:rFonts w:hint="eastAsia"/>
          <w:color w:val="auto"/>
          <w:lang w:val="en-US" w:eastAsia="zh-CN"/>
        </w:rPr>
        <w:t>核心课程如下：</w:t>
      </w:r>
    </w:p>
    <w:tbl>
      <w:tblPr>
        <w:tblStyle w:val="13"/>
        <w:tblW w:w="8649" w:type="dxa"/>
        <w:jc w:val="center"/>
        <w:tblLayout w:type="fixed"/>
        <w:tblCellMar>
          <w:top w:w="55" w:type="dxa"/>
          <w:left w:w="155" w:type="dxa"/>
          <w:bottom w:w="0" w:type="dxa"/>
          <w:right w:w="115" w:type="dxa"/>
        </w:tblCellMar>
      </w:tblPr>
      <w:tblGrid>
        <w:gridCol w:w="532"/>
        <w:gridCol w:w="1824"/>
        <w:gridCol w:w="497"/>
        <w:gridCol w:w="863"/>
        <w:gridCol w:w="826"/>
        <w:gridCol w:w="846"/>
        <w:gridCol w:w="978"/>
        <w:gridCol w:w="2283"/>
      </w:tblGrid>
      <w:tr w14:paraId="038784C7">
        <w:tblPrEx>
          <w:tblCellMar>
            <w:top w:w="55" w:type="dxa"/>
            <w:left w:w="155" w:type="dxa"/>
            <w:bottom w:w="0" w:type="dxa"/>
            <w:right w:w="115" w:type="dxa"/>
          </w:tblCellMar>
        </w:tblPrEx>
        <w:trPr>
          <w:trHeight w:val="356" w:hRule="atLeast"/>
          <w:jc w:val="center"/>
        </w:trPr>
        <w:tc>
          <w:tcPr>
            <w:tcW w:w="532" w:type="dxa"/>
            <w:vMerge w:val="restart"/>
            <w:tcBorders>
              <w:top w:val="single" w:color="000000" w:sz="4" w:space="0"/>
              <w:left w:val="single" w:color="000000" w:sz="4" w:space="0"/>
              <w:right w:val="single" w:color="000000" w:sz="4" w:space="0"/>
            </w:tcBorders>
            <w:vAlign w:val="center"/>
          </w:tcPr>
          <w:p w14:paraId="300D9CA6">
            <w:pPr>
              <w:spacing w:after="0" w:line="259" w:lineRule="auto"/>
              <w:ind w:left="0" w:firstLine="0"/>
              <w:jc w:val="center"/>
              <w:rPr>
                <w:rFonts w:ascii="黑体" w:hAnsi="黑体" w:eastAsia="黑体" w:cs="黑体"/>
                <w:sz w:val="18"/>
              </w:rPr>
            </w:pPr>
            <w:r>
              <w:rPr>
                <w:rFonts w:hint="eastAsia" w:ascii="黑体" w:hAnsi="黑体" w:eastAsia="黑体" w:cs="黑体"/>
                <w:sz w:val="18"/>
              </w:rPr>
              <w:t>序号</w:t>
            </w:r>
          </w:p>
        </w:tc>
        <w:tc>
          <w:tcPr>
            <w:tcW w:w="1824" w:type="dxa"/>
            <w:vMerge w:val="restart"/>
            <w:tcBorders>
              <w:top w:val="single" w:color="000000" w:sz="4" w:space="0"/>
              <w:left w:val="single" w:color="000000" w:sz="4" w:space="0"/>
              <w:bottom w:val="single" w:color="000000" w:sz="4" w:space="0"/>
              <w:right w:val="single" w:color="000000" w:sz="4" w:space="0"/>
            </w:tcBorders>
            <w:vAlign w:val="center"/>
          </w:tcPr>
          <w:p w14:paraId="280E6EAB">
            <w:pPr>
              <w:spacing w:after="0" w:line="259" w:lineRule="auto"/>
              <w:ind w:left="0" w:firstLine="0"/>
              <w:jc w:val="center"/>
            </w:pPr>
            <w:r>
              <w:rPr>
                <w:rFonts w:ascii="黑体" w:hAnsi="黑体" w:eastAsia="黑体" w:cs="黑体"/>
                <w:sz w:val="18"/>
              </w:rPr>
              <w:t>课程名称</w:t>
            </w:r>
          </w:p>
        </w:tc>
        <w:tc>
          <w:tcPr>
            <w:tcW w:w="497" w:type="dxa"/>
            <w:vMerge w:val="restart"/>
            <w:tcBorders>
              <w:top w:val="single" w:color="000000" w:sz="4" w:space="0"/>
              <w:left w:val="single" w:color="000000" w:sz="4" w:space="0"/>
              <w:bottom w:val="single" w:color="000000" w:sz="4" w:space="0"/>
              <w:right w:val="single" w:color="auto" w:sz="4" w:space="0"/>
            </w:tcBorders>
            <w:vAlign w:val="center"/>
          </w:tcPr>
          <w:p w14:paraId="1C6E3594">
            <w:pPr>
              <w:spacing w:after="0" w:line="259" w:lineRule="auto"/>
              <w:ind w:left="89" w:firstLine="0"/>
            </w:pPr>
            <w:r>
              <w:rPr>
                <w:rFonts w:ascii="黑体" w:hAnsi="黑体" w:eastAsia="黑体" w:cs="黑体"/>
                <w:sz w:val="18"/>
              </w:rPr>
              <w:t>学分</w:t>
            </w:r>
          </w:p>
        </w:tc>
        <w:tc>
          <w:tcPr>
            <w:tcW w:w="863" w:type="dxa"/>
            <w:vMerge w:val="restart"/>
            <w:tcBorders>
              <w:top w:val="single" w:color="auto" w:sz="4" w:space="0"/>
              <w:left w:val="single" w:color="auto" w:sz="4" w:space="0"/>
              <w:right w:val="single" w:color="auto" w:sz="4" w:space="0"/>
            </w:tcBorders>
            <w:vAlign w:val="center"/>
          </w:tcPr>
          <w:p w14:paraId="229EC02C">
            <w:pPr>
              <w:spacing w:after="0" w:line="259" w:lineRule="auto"/>
              <w:ind w:left="89" w:firstLine="0"/>
              <w:rPr>
                <w:rFonts w:ascii="黑体" w:hAnsi="黑体" w:eastAsia="黑体" w:cs="黑体"/>
                <w:sz w:val="18"/>
              </w:rPr>
            </w:pPr>
            <w:r>
              <w:rPr>
                <w:rFonts w:ascii="黑体" w:hAnsi="黑体" w:eastAsia="黑体" w:cs="黑体"/>
                <w:sz w:val="18"/>
              </w:rPr>
              <w:t>学时</w:t>
            </w:r>
          </w:p>
        </w:tc>
        <w:tc>
          <w:tcPr>
            <w:tcW w:w="1672" w:type="dxa"/>
            <w:gridSpan w:val="2"/>
            <w:tcBorders>
              <w:top w:val="single" w:color="auto" w:sz="4" w:space="0"/>
              <w:left w:val="single" w:color="auto" w:sz="4" w:space="0"/>
              <w:bottom w:val="single" w:color="auto" w:sz="4" w:space="0"/>
              <w:right w:val="single" w:color="auto" w:sz="4" w:space="0"/>
            </w:tcBorders>
          </w:tcPr>
          <w:p w14:paraId="1D751E97">
            <w:pPr>
              <w:spacing w:after="0" w:line="259" w:lineRule="auto"/>
              <w:ind w:left="0" w:firstLine="0"/>
              <w:jc w:val="center"/>
              <w:rPr>
                <w:rFonts w:ascii="黑体" w:hAnsi="黑体" w:eastAsia="黑体" w:cs="黑体"/>
                <w:sz w:val="18"/>
              </w:rPr>
            </w:pPr>
            <w:r>
              <w:rPr>
                <w:rFonts w:hint="eastAsia" w:ascii="黑体" w:hAnsi="黑体" w:eastAsia="黑体" w:cs="黑体"/>
                <w:sz w:val="18"/>
              </w:rPr>
              <w:t>分解学时</w:t>
            </w:r>
          </w:p>
        </w:tc>
        <w:tc>
          <w:tcPr>
            <w:tcW w:w="978" w:type="dxa"/>
            <w:vMerge w:val="restart"/>
            <w:tcBorders>
              <w:top w:val="single" w:color="000000" w:sz="4" w:space="0"/>
              <w:left w:val="single" w:color="auto" w:sz="4" w:space="0"/>
              <w:bottom w:val="single" w:color="000000" w:sz="4" w:space="0"/>
              <w:right w:val="single" w:color="000000" w:sz="4" w:space="0"/>
            </w:tcBorders>
            <w:vAlign w:val="center"/>
          </w:tcPr>
          <w:p w14:paraId="222B6822">
            <w:pPr>
              <w:spacing w:after="0" w:line="259" w:lineRule="auto"/>
              <w:ind w:left="0" w:firstLine="0"/>
              <w:jc w:val="center"/>
              <w:rPr>
                <w:rFonts w:ascii="黑体" w:hAnsi="黑体" w:eastAsia="黑体" w:cs="黑体"/>
                <w:sz w:val="18"/>
              </w:rPr>
            </w:pPr>
            <w:r>
              <w:rPr>
                <w:rFonts w:ascii="黑体" w:hAnsi="黑体" w:eastAsia="黑体" w:cs="黑体"/>
                <w:sz w:val="18"/>
              </w:rPr>
              <w:t>考核</w:t>
            </w:r>
          </w:p>
          <w:p w14:paraId="2CCFF869">
            <w:pPr>
              <w:spacing w:after="0" w:line="259" w:lineRule="auto"/>
              <w:ind w:left="0" w:firstLine="0"/>
              <w:jc w:val="center"/>
            </w:pPr>
            <w:r>
              <w:rPr>
                <w:rFonts w:ascii="黑体" w:hAnsi="黑体" w:eastAsia="黑体" w:cs="黑体"/>
                <w:sz w:val="18"/>
              </w:rPr>
              <w:t>方式</w:t>
            </w:r>
          </w:p>
        </w:tc>
        <w:tc>
          <w:tcPr>
            <w:tcW w:w="2283" w:type="dxa"/>
            <w:vMerge w:val="restart"/>
            <w:tcBorders>
              <w:top w:val="single" w:color="000000" w:sz="4" w:space="0"/>
              <w:left w:val="single" w:color="000000" w:sz="4" w:space="0"/>
              <w:bottom w:val="single" w:color="000000" w:sz="4" w:space="0"/>
              <w:right w:val="single" w:color="000000" w:sz="4" w:space="0"/>
            </w:tcBorders>
            <w:vAlign w:val="center"/>
          </w:tcPr>
          <w:p w14:paraId="5857ACCC">
            <w:pPr>
              <w:spacing w:after="0" w:line="259" w:lineRule="auto"/>
              <w:ind w:left="0" w:firstLine="0"/>
              <w:jc w:val="center"/>
              <w:rPr>
                <w:rFonts w:ascii="黑体" w:hAnsi="黑体" w:eastAsia="黑体" w:cs="黑体"/>
                <w:sz w:val="18"/>
              </w:rPr>
            </w:pPr>
            <w:r>
              <w:rPr>
                <w:rFonts w:ascii="黑体" w:hAnsi="黑体" w:eastAsia="黑体" w:cs="黑体"/>
                <w:sz w:val="18"/>
              </w:rPr>
              <w:t>开课</w:t>
            </w:r>
          </w:p>
          <w:p w14:paraId="0344A4DB">
            <w:pPr>
              <w:spacing w:after="0" w:line="259" w:lineRule="auto"/>
              <w:ind w:left="0" w:firstLine="0"/>
              <w:jc w:val="center"/>
            </w:pPr>
            <w:r>
              <w:rPr>
                <w:rFonts w:ascii="黑体" w:hAnsi="黑体" w:eastAsia="黑体" w:cs="黑体"/>
                <w:sz w:val="18"/>
              </w:rPr>
              <w:t>学期</w:t>
            </w:r>
          </w:p>
        </w:tc>
      </w:tr>
      <w:tr w14:paraId="23DEE75F">
        <w:tblPrEx>
          <w:tblCellMar>
            <w:top w:w="55" w:type="dxa"/>
            <w:left w:w="155" w:type="dxa"/>
            <w:bottom w:w="0" w:type="dxa"/>
            <w:right w:w="115" w:type="dxa"/>
          </w:tblCellMar>
        </w:tblPrEx>
        <w:trPr>
          <w:trHeight w:val="322" w:hRule="atLeast"/>
          <w:jc w:val="center"/>
        </w:trPr>
        <w:tc>
          <w:tcPr>
            <w:tcW w:w="532" w:type="dxa"/>
            <w:vMerge w:val="continue"/>
            <w:tcBorders>
              <w:left w:val="single" w:color="000000" w:sz="4" w:space="0"/>
              <w:bottom w:val="single" w:color="000000" w:sz="4" w:space="0"/>
              <w:right w:val="single" w:color="000000" w:sz="4" w:space="0"/>
            </w:tcBorders>
          </w:tcPr>
          <w:p w14:paraId="227D919A">
            <w:pPr>
              <w:spacing w:after="160" w:line="259" w:lineRule="auto"/>
              <w:ind w:left="0" w:firstLine="0"/>
            </w:pPr>
          </w:p>
        </w:tc>
        <w:tc>
          <w:tcPr>
            <w:tcW w:w="1824" w:type="dxa"/>
            <w:vMerge w:val="continue"/>
            <w:tcBorders>
              <w:top w:val="nil"/>
              <w:left w:val="single" w:color="000000" w:sz="4" w:space="0"/>
              <w:bottom w:val="single" w:color="000000" w:sz="4" w:space="0"/>
              <w:right w:val="single" w:color="000000" w:sz="4" w:space="0"/>
            </w:tcBorders>
          </w:tcPr>
          <w:p w14:paraId="26213F1B">
            <w:pPr>
              <w:spacing w:after="160" w:line="259" w:lineRule="auto"/>
              <w:ind w:left="0" w:firstLine="0"/>
            </w:pPr>
          </w:p>
        </w:tc>
        <w:tc>
          <w:tcPr>
            <w:tcW w:w="497" w:type="dxa"/>
            <w:vMerge w:val="continue"/>
            <w:tcBorders>
              <w:top w:val="nil"/>
              <w:left w:val="single" w:color="000000" w:sz="4" w:space="0"/>
              <w:bottom w:val="single" w:color="000000" w:sz="4" w:space="0"/>
              <w:right w:val="single" w:color="auto" w:sz="4" w:space="0"/>
            </w:tcBorders>
          </w:tcPr>
          <w:p w14:paraId="2B7E04B2">
            <w:pPr>
              <w:spacing w:after="160" w:line="259" w:lineRule="auto"/>
              <w:ind w:left="0" w:firstLine="0"/>
            </w:pPr>
          </w:p>
        </w:tc>
        <w:tc>
          <w:tcPr>
            <w:tcW w:w="863" w:type="dxa"/>
            <w:vMerge w:val="continue"/>
            <w:tcBorders>
              <w:left w:val="single" w:color="auto" w:sz="4" w:space="0"/>
              <w:bottom w:val="single" w:color="000000" w:sz="4" w:space="0"/>
              <w:right w:val="single" w:color="auto" w:sz="4" w:space="0"/>
            </w:tcBorders>
          </w:tcPr>
          <w:p w14:paraId="39B25050">
            <w:pPr>
              <w:spacing w:after="0" w:line="259" w:lineRule="auto"/>
              <w:ind w:left="0" w:firstLine="0"/>
              <w:jc w:val="both"/>
            </w:pPr>
          </w:p>
        </w:tc>
        <w:tc>
          <w:tcPr>
            <w:tcW w:w="826" w:type="dxa"/>
            <w:tcBorders>
              <w:top w:val="single" w:color="auto" w:sz="4" w:space="0"/>
              <w:left w:val="single" w:color="auto" w:sz="4" w:space="0"/>
              <w:bottom w:val="single" w:color="000000" w:sz="4" w:space="0"/>
              <w:right w:val="single" w:color="000000" w:sz="4" w:space="0"/>
            </w:tcBorders>
          </w:tcPr>
          <w:p w14:paraId="42CB9669">
            <w:pPr>
              <w:spacing w:after="0" w:line="259" w:lineRule="auto"/>
              <w:ind w:left="90" w:firstLine="0"/>
            </w:pPr>
            <w:r>
              <w:rPr>
                <w:rFonts w:ascii="黑体" w:hAnsi="黑体" w:eastAsia="黑体" w:cs="黑体"/>
                <w:sz w:val="18"/>
              </w:rPr>
              <w:t>理论</w:t>
            </w:r>
          </w:p>
        </w:tc>
        <w:tc>
          <w:tcPr>
            <w:tcW w:w="846" w:type="dxa"/>
            <w:tcBorders>
              <w:top w:val="single" w:color="auto" w:sz="4" w:space="0"/>
              <w:left w:val="single" w:color="000000" w:sz="4" w:space="0"/>
              <w:bottom w:val="single" w:color="000000" w:sz="4" w:space="0"/>
              <w:right w:val="single" w:color="000000" w:sz="4" w:space="0"/>
            </w:tcBorders>
          </w:tcPr>
          <w:p w14:paraId="7FC89B08">
            <w:pPr>
              <w:spacing w:after="0" w:line="259" w:lineRule="auto"/>
              <w:ind w:left="18" w:firstLine="0"/>
              <w:jc w:val="both"/>
            </w:pPr>
            <w:r>
              <w:rPr>
                <w:rFonts w:ascii="黑体" w:hAnsi="黑体" w:eastAsia="黑体" w:cs="黑体"/>
                <w:sz w:val="18"/>
              </w:rPr>
              <w:t>实践</w:t>
            </w:r>
          </w:p>
        </w:tc>
        <w:tc>
          <w:tcPr>
            <w:tcW w:w="978" w:type="dxa"/>
            <w:vMerge w:val="continue"/>
            <w:tcBorders>
              <w:top w:val="nil"/>
              <w:left w:val="single" w:color="000000" w:sz="4" w:space="0"/>
              <w:bottom w:val="single" w:color="000000" w:sz="4" w:space="0"/>
              <w:right w:val="single" w:color="000000" w:sz="4" w:space="0"/>
            </w:tcBorders>
          </w:tcPr>
          <w:p w14:paraId="42423B37">
            <w:pPr>
              <w:spacing w:after="160" w:line="259" w:lineRule="auto"/>
              <w:ind w:left="0" w:firstLine="0"/>
            </w:pPr>
          </w:p>
        </w:tc>
        <w:tc>
          <w:tcPr>
            <w:tcW w:w="2283" w:type="dxa"/>
            <w:vMerge w:val="continue"/>
            <w:tcBorders>
              <w:top w:val="nil"/>
              <w:left w:val="single" w:color="000000" w:sz="4" w:space="0"/>
              <w:bottom w:val="single" w:color="000000" w:sz="4" w:space="0"/>
              <w:right w:val="single" w:color="000000" w:sz="4" w:space="0"/>
            </w:tcBorders>
          </w:tcPr>
          <w:p w14:paraId="2C7FBE85">
            <w:pPr>
              <w:spacing w:after="160" w:line="259" w:lineRule="auto"/>
              <w:ind w:left="0" w:firstLine="0"/>
            </w:pPr>
          </w:p>
        </w:tc>
      </w:tr>
      <w:tr w14:paraId="375BC8CA">
        <w:tblPrEx>
          <w:tblCellMar>
            <w:top w:w="55" w:type="dxa"/>
            <w:left w:w="155" w:type="dxa"/>
            <w:bottom w:w="0" w:type="dxa"/>
            <w:right w:w="115" w:type="dxa"/>
          </w:tblCellMar>
        </w:tblPrEx>
        <w:trPr>
          <w:trHeight w:val="322" w:hRule="atLeast"/>
          <w:jc w:val="center"/>
        </w:trPr>
        <w:tc>
          <w:tcPr>
            <w:tcW w:w="532" w:type="dxa"/>
            <w:tcBorders>
              <w:left w:val="single" w:color="000000" w:sz="4" w:space="0"/>
              <w:bottom w:val="single" w:color="000000" w:sz="4" w:space="0"/>
              <w:right w:val="single" w:color="000000" w:sz="4" w:space="0"/>
            </w:tcBorders>
            <w:vAlign w:val="top"/>
          </w:tcPr>
          <w:p w14:paraId="24809353">
            <w:pPr>
              <w:spacing w:after="0" w:line="259" w:lineRule="auto"/>
              <w:ind w:left="387" w:leftChars="0" w:hanging="377" w:firstLineChars="0"/>
              <w:jc w:val="center"/>
              <w:rPr>
                <w:rFonts w:hint="eastAsia" w:ascii="仿宋" w:hAnsi="仿宋" w:eastAsia="仿宋" w:cs="仿宋"/>
                <w:color w:val="000000"/>
                <w:kern w:val="2"/>
                <w:sz w:val="24"/>
                <w:szCs w:val="22"/>
                <w:lang w:val="en-US" w:eastAsia="zh-CN" w:bidi="ar-SA"/>
              </w:rPr>
            </w:pPr>
            <w:bookmarkStart w:id="4" w:name="OLE_LINK4" w:colFirst="7" w:colLast="7"/>
            <w:r>
              <w:rPr>
                <w:rFonts w:hint="eastAsia"/>
                <w:lang w:val="en-US" w:eastAsia="zh-CN"/>
              </w:rPr>
              <w:t>1</w:t>
            </w:r>
          </w:p>
        </w:tc>
        <w:tc>
          <w:tcPr>
            <w:tcW w:w="1824" w:type="dxa"/>
            <w:tcBorders>
              <w:top w:val="nil"/>
              <w:left w:val="single" w:color="000000" w:sz="4" w:space="0"/>
              <w:bottom w:val="single" w:color="000000" w:sz="4" w:space="0"/>
              <w:right w:val="single" w:color="000000" w:sz="4" w:space="0"/>
            </w:tcBorders>
            <w:vAlign w:val="top"/>
          </w:tcPr>
          <w:p w14:paraId="45786BF2">
            <w:pPr>
              <w:spacing w:after="0" w:line="259" w:lineRule="auto"/>
              <w:ind w:left="0" w:leftChars="0" w:right="84" w:rightChars="0" w:firstLine="0" w:firstLineChars="0"/>
              <w:jc w:val="center"/>
              <w:rPr>
                <w:rFonts w:hint="eastAsia"/>
                <w:sz w:val="21"/>
                <w:szCs w:val="21"/>
                <w:lang w:val="en-US" w:eastAsia="zh-CN"/>
              </w:rPr>
            </w:pPr>
            <w:r>
              <w:rPr>
                <w:rFonts w:hint="eastAsia"/>
                <w:sz w:val="21"/>
                <w:szCs w:val="21"/>
                <w:lang w:val="en-US" w:eastAsia="zh-CN"/>
              </w:rPr>
              <w:t>AI+碳计量管理</w:t>
            </w:r>
          </w:p>
        </w:tc>
        <w:tc>
          <w:tcPr>
            <w:tcW w:w="497" w:type="dxa"/>
            <w:tcBorders>
              <w:top w:val="nil"/>
              <w:left w:val="single" w:color="000000" w:sz="4" w:space="0"/>
              <w:bottom w:val="single" w:color="000000" w:sz="4" w:space="0"/>
              <w:right w:val="single" w:color="auto" w:sz="4" w:space="0"/>
            </w:tcBorders>
            <w:vAlign w:val="center"/>
          </w:tcPr>
          <w:p w14:paraId="11B8183E">
            <w:pPr>
              <w:spacing w:after="0" w:line="259" w:lineRule="auto"/>
              <w:ind w:left="0" w:leftChars="0" w:right="84" w:rightChars="0" w:firstLine="0" w:firstLineChars="0"/>
              <w:jc w:val="center"/>
              <w:rPr>
                <w:rFonts w:hint="default"/>
                <w:color w:val="auto"/>
                <w:sz w:val="21"/>
                <w:szCs w:val="21"/>
                <w:lang w:val="en-US" w:eastAsia="zh-CN"/>
              </w:rPr>
            </w:pPr>
            <w:r>
              <w:rPr>
                <w:rFonts w:hint="eastAsia"/>
                <w:color w:val="auto"/>
                <w:sz w:val="21"/>
                <w:szCs w:val="21"/>
                <w:lang w:val="en-US" w:eastAsia="zh-CN"/>
              </w:rPr>
              <w:t>1</w:t>
            </w:r>
          </w:p>
        </w:tc>
        <w:tc>
          <w:tcPr>
            <w:tcW w:w="863" w:type="dxa"/>
            <w:tcBorders>
              <w:left w:val="single" w:color="auto" w:sz="4" w:space="0"/>
              <w:bottom w:val="single" w:color="000000" w:sz="4" w:space="0"/>
              <w:right w:val="single" w:color="auto" w:sz="4" w:space="0"/>
            </w:tcBorders>
            <w:vAlign w:val="center"/>
          </w:tcPr>
          <w:p w14:paraId="2AB8C0BC">
            <w:pPr>
              <w:spacing w:after="0" w:line="259" w:lineRule="auto"/>
              <w:ind w:left="0" w:leftChars="0" w:right="84" w:rightChars="0" w:firstLine="0" w:firstLineChars="0"/>
              <w:jc w:val="center"/>
              <w:rPr>
                <w:rFonts w:hint="default"/>
                <w:color w:val="auto"/>
                <w:sz w:val="21"/>
                <w:szCs w:val="21"/>
                <w:lang w:val="en-US" w:eastAsia="zh-CN"/>
              </w:rPr>
            </w:pPr>
            <w:r>
              <w:rPr>
                <w:rFonts w:hint="eastAsia"/>
                <w:color w:val="auto"/>
                <w:sz w:val="21"/>
                <w:szCs w:val="21"/>
                <w:lang w:val="en-US" w:eastAsia="zh-CN"/>
              </w:rPr>
              <w:t>18</w:t>
            </w:r>
          </w:p>
        </w:tc>
        <w:tc>
          <w:tcPr>
            <w:tcW w:w="826" w:type="dxa"/>
            <w:tcBorders>
              <w:top w:val="single" w:color="auto" w:sz="4" w:space="0"/>
              <w:left w:val="single" w:color="auto" w:sz="4" w:space="0"/>
              <w:bottom w:val="single" w:color="000000" w:sz="4" w:space="0"/>
              <w:right w:val="single" w:color="000000" w:sz="4" w:space="0"/>
            </w:tcBorders>
            <w:vAlign w:val="center"/>
          </w:tcPr>
          <w:p w14:paraId="7CCEACC9">
            <w:pPr>
              <w:spacing w:after="0" w:line="259" w:lineRule="auto"/>
              <w:ind w:left="0" w:leftChars="0" w:right="84" w:rightChars="0" w:firstLine="0" w:firstLineChars="0"/>
              <w:jc w:val="center"/>
              <w:rPr>
                <w:rFonts w:hint="default"/>
                <w:sz w:val="21"/>
                <w:szCs w:val="21"/>
                <w:lang w:val="en-US" w:eastAsia="zh-CN"/>
              </w:rPr>
            </w:pPr>
            <w:r>
              <w:rPr>
                <w:rFonts w:hint="eastAsia"/>
                <w:sz w:val="21"/>
                <w:szCs w:val="21"/>
                <w:lang w:val="en-US" w:eastAsia="zh-CN"/>
              </w:rPr>
              <w:t>8</w:t>
            </w:r>
          </w:p>
        </w:tc>
        <w:tc>
          <w:tcPr>
            <w:tcW w:w="846" w:type="dxa"/>
            <w:tcBorders>
              <w:top w:val="single" w:color="auto" w:sz="4" w:space="0"/>
              <w:left w:val="single" w:color="000000" w:sz="4" w:space="0"/>
              <w:bottom w:val="single" w:color="000000" w:sz="4" w:space="0"/>
              <w:right w:val="single" w:color="000000" w:sz="4" w:space="0"/>
            </w:tcBorders>
            <w:vAlign w:val="center"/>
          </w:tcPr>
          <w:p w14:paraId="76513C56">
            <w:pPr>
              <w:spacing w:after="0" w:line="259" w:lineRule="auto"/>
              <w:ind w:left="0" w:leftChars="0" w:right="84" w:rightChars="0" w:firstLine="0" w:firstLineChars="0"/>
              <w:jc w:val="center"/>
              <w:rPr>
                <w:rFonts w:hint="default"/>
                <w:sz w:val="21"/>
                <w:szCs w:val="21"/>
                <w:lang w:val="en-US" w:eastAsia="zh-CN"/>
              </w:rPr>
            </w:pPr>
            <w:r>
              <w:rPr>
                <w:rFonts w:hint="eastAsia"/>
                <w:sz w:val="21"/>
                <w:szCs w:val="21"/>
                <w:lang w:val="en-US" w:eastAsia="zh-CN"/>
              </w:rPr>
              <w:t>10</w:t>
            </w:r>
          </w:p>
        </w:tc>
        <w:tc>
          <w:tcPr>
            <w:tcW w:w="978" w:type="dxa"/>
            <w:tcBorders>
              <w:top w:val="nil"/>
              <w:left w:val="single" w:color="000000" w:sz="4" w:space="0"/>
              <w:bottom w:val="single" w:color="000000" w:sz="4" w:space="0"/>
              <w:right w:val="single" w:color="000000" w:sz="4" w:space="0"/>
            </w:tcBorders>
            <w:vAlign w:val="center"/>
          </w:tcPr>
          <w:p w14:paraId="06711011">
            <w:pPr>
              <w:spacing w:after="0" w:line="259" w:lineRule="auto"/>
              <w:ind w:left="0" w:leftChars="0" w:right="84" w:rightChars="0" w:firstLine="0" w:firstLineChars="0"/>
              <w:jc w:val="center"/>
              <w:rPr>
                <w:rFonts w:hint="eastAsia"/>
                <w:sz w:val="21"/>
                <w:szCs w:val="21"/>
                <w:lang w:val="en-US" w:eastAsia="zh-CN"/>
              </w:rPr>
            </w:pPr>
            <w:r>
              <w:rPr>
                <w:rFonts w:hint="eastAsia"/>
                <w:sz w:val="21"/>
                <w:szCs w:val="21"/>
                <w:lang w:val="en-US" w:eastAsia="zh-CN"/>
              </w:rPr>
              <w:t>考查</w:t>
            </w:r>
          </w:p>
        </w:tc>
        <w:tc>
          <w:tcPr>
            <w:tcW w:w="2283" w:type="dxa"/>
            <w:tcBorders>
              <w:top w:val="nil"/>
              <w:left w:val="single" w:color="000000" w:sz="4" w:space="0"/>
              <w:bottom w:val="single" w:color="000000" w:sz="4" w:space="0"/>
              <w:right w:val="single" w:color="000000" w:sz="4" w:space="0"/>
            </w:tcBorders>
            <w:vAlign w:val="center"/>
          </w:tcPr>
          <w:p w14:paraId="143A11A2">
            <w:pPr>
              <w:spacing w:after="0" w:line="259" w:lineRule="auto"/>
              <w:ind w:left="0" w:leftChars="0" w:right="84" w:rightChars="0" w:firstLine="0" w:firstLineChars="0"/>
              <w:jc w:val="both"/>
              <w:rPr>
                <w:rFonts w:hint="default" w:ascii="仿宋" w:hAnsi="仿宋" w:eastAsia="仿宋" w:cs="仿宋"/>
                <w:color w:val="000000"/>
                <w:kern w:val="2"/>
                <w:sz w:val="21"/>
                <w:szCs w:val="21"/>
                <w:lang w:val="en-US" w:eastAsia="zh-CN" w:bidi="ar-SA"/>
              </w:rPr>
            </w:pPr>
            <w:r>
              <w:rPr>
                <w:rFonts w:hint="eastAsia"/>
              </w:rPr>
              <w:t>学术科研周+暑期</w:t>
            </w:r>
          </w:p>
        </w:tc>
      </w:tr>
      <w:bookmarkEnd w:id="4"/>
      <w:tr w14:paraId="256C3EE4">
        <w:tblPrEx>
          <w:tblCellMar>
            <w:top w:w="55" w:type="dxa"/>
            <w:left w:w="155" w:type="dxa"/>
            <w:bottom w:w="0" w:type="dxa"/>
            <w:right w:w="115" w:type="dxa"/>
          </w:tblCellMar>
        </w:tblPrEx>
        <w:trPr>
          <w:trHeight w:val="502" w:hRule="atLeast"/>
          <w:jc w:val="center"/>
        </w:trPr>
        <w:tc>
          <w:tcPr>
            <w:tcW w:w="532" w:type="dxa"/>
            <w:tcBorders>
              <w:top w:val="single" w:color="000000" w:sz="4" w:space="0"/>
              <w:left w:val="single" w:color="000000" w:sz="4" w:space="0"/>
              <w:bottom w:val="single" w:color="000000" w:sz="4" w:space="0"/>
              <w:right w:val="single" w:color="000000" w:sz="4" w:space="0"/>
            </w:tcBorders>
            <w:vAlign w:val="top"/>
          </w:tcPr>
          <w:p w14:paraId="646ADB56">
            <w:pPr>
              <w:spacing w:after="0" w:line="259" w:lineRule="auto"/>
              <w:ind w:left="387" w:leftChars="0" w:hanging="377" w:firstLineChars="0"/>
              <w:jc w:val="center"/>
              <w:rPr>
                <w:rFonts w:hint="eastAsia" w:ascii="仿宋" w:hAnsi="仿宋" w:eastAsia="仿宋" w:cs="仿宋"/>
                <w:color w:val="000000"/>
                <w:kern w:val="2"/>
                <w:sz w:val="24"/>
                <w:szCs w:val="22"/>
                <w:lang w:val="en-US" w:eastAsia="zh-CN" w:bidi="ar-SA"/>
              </w:rPr>
            </w:pPr>
            <w:r>
              <w:rPr>
                <w:rFonts w:hint="eastAsia"/>
                <w:lang w:val="en-US" w:eastAsia="zh-CN"/>
              </w:rPr>
              <w:t>2</w:t>
            </w:r>
          </w:p>
        </w:tc>
        <w:tc>
          <w:tcPr>
            <w:tcW w:w="1824" w:type="dxa"/>
            <w:tcBorders>
              <w:top w:val="single" w:color="000000" w:sz="4" w:space="0"/>
              <w:left w:val="single" w:color="000000" w:sz="4" w:space="0"/>
              <w:bottom w:val="single" w:color="000000" w:sz="4" w:space="0"/>
              <w:right w:val="single" w:color="000000" w:sz="4" w:space="0"/>
            </w:tcBorders>
          </w:tcPr>
          <w:p w14:paraId="1E7680DF">
            <w:pPr>
              <w:spacing w:after="0" w:line="259" w:lineRule="auto"/>
              <w:ind w:left="0" w:leftChars="0" w:right="84" w:rightChars="0" w:firstLine="0" w:firstLineChars="0"/>
              <w:jc w:val="center"/>
              <w:rPr>
                <w:rFonts w:hint="eastAsia"/>
                <w:sz w:val="21"/>
                <w:szCs w:val="21"/>
                <w:lang w:val="en-US" w:eastAsia="zh-CN"/>
              </w:rPr>
            </w:pPr>
            <w:r>
              <w:rPr>
                <w:rFonts w:hint="eastAsia"/>
                <w:sz w:val="21"/>
                <w:szCs w:val="21"/>
                <w:lang w:val="en-US" w:eastAsia="zh-CN"/>
              </w:rPr>
              <w:t>绿色化学</w:t>
            </w:r>
          </w:p>
        </w:tc>
        <w:tc>
          <w:tcPr>
            <w:tcW w:w="497" w:type="dxa"/>
            <w:tcBorders>
              <w:top w:val="single" w:color="000000" w:sz="4" w:space="0"/>
              <w:left w:val="single" w:color="000000" w:sz="4" w:space="0"/>
              <w:bottom w:val="single" w:color="000000" w:sz="4" w:space="0"/>
              <w:right w:val="single" w:color="000000" w:sz="4" w:space="0"/>
            </w:tcBorders>
          </w:tcPr>
          <w:p w14:paraId="2CFC095A">
            <w:pPr>
              <w:spacing w:after="0" w:line="259" w:lineRule="auto"/>
              <w:ind w:left="0" w:right="21" w:firstLine="0"/>
              <w:jc w:val="center"/>
              <w:rPr>
                <w:color w:val="auto"/>
                <w:sz w:val="21"/>
                <w:szCs w:val="21"/>
              </w:rPr>
            </w:pPr>
            <w:r>
              <w:rPr>
                <w:color w:val="auto"/>
                <w:sz w:val="21"/>
                <w:szCs w:val="21"/>
              </w:rPr>
              <w:t>2</w:t>
            </w:r>
          </w:p>
        </w:tc>
        <w:tc>
          <w:tcPr>
            <w:tcW w:w="863" w:type="dxa"/>
            <w:tcBorders>
              <w:top w:val="single" w:color="000000" w:sz="4" w:space="0"/>
              <w:left w:val="single" w:color="000000" w:sz="4" w:space="0"/>
              <w:bottom w:val="single" w:color="000000" w:sz="4" w:space="0"/>
              <w:right w:val="single" w:color="000000" w:sz="4" w:space="0"/>
            </w:tcBorders>
          </w:tcPr>
          <w:p w14:paraId="61B8D999">
            <w:pPr>
              <w:spacing w:after="0" w:line="259" w:lineRule="auto"/>
              <w:ind w:left="0" w:right="25" w:firstLine="0"/>
              <w:jc w:val="center"/>
              <w:rPr>
                <w:color w:val="auto"/>
                <w:sz w:val="21"/>
                <w:szCs w:val="21"/>
              </w:rPr>
            </w:pPr>
            <w:r>
              <w:rPr>
                <w:color w:val="auto"/>
                <w:sz w:val="21"/>
                <w:szCs w:val="21"/>
              </w:rPr>
              <w:t>36</w:t>
            </w:r>
          </w:p>
        </w:tc>
        <w:tc>
          <w:tcPr>
            <w:tcW w:w="826" w:type="dxa"/>
            <w:tcBorders>
              <w:top w:val="single" w:color="000000" w:sz="4" w:space="0"/>
              <w:left w:val="single" w:color="000000" w:sz="4" w:space="0"/>
              <w:bottom w:val="single" w:color="000000" w:sz="4" w:space="0"/>
              <w:right w:val="single" w:color="000000" w:sz="4" w:space="0"/>
            </w:tcBorders>
          </w:tcPr>
          <w:p w14:paraId="3026A922">
            <w:pPr>
              <w:spacing w:after="0" w:line="259" w:lineRule="auto"/>
              <w:ind w:left="0" w:right="24" w:firstLine="0"/>
              <w:jc w:val="center"/>
              <w:rPr>
                <w:rFonts w:hint="default" w:eastAsia="仿宋"/>
                <w:sz w:val="21"/>
                <w:szCs w:val="21"/>
                <w:lang w:val="en-US" w:eastAsia="zh-CN"/>
              </w:rPr>
            </w:pPr>
            <w:r>
              <w:rPr>
                <w:rFonts w:hint="eastAsia"/>
                <w:sz w:val="21"/>
                <w:szCs w:val="21"/>
                <w:lang w:val="en-US" w:eastAsia="zh-CN"/>
              </w:rPr>
              <w:t>21</w:t>
            </w:r>
          </w:p>
        </w:tc>
        <w:tc>
          <w:tcPr>
            <w:tcW w:w="846" w:type="dxa"/>
            <w:tcBorders>
              <w:top w:val="single" w:color="000000" w:sz="4" w:space="0"/>
              <w:left w:val="single" w:color="000000" w:sz="4" w:space="0"/>
              <w:bottom w:val="single" w:color="000000" w:sz="4" w:space="0"/>
              <w:right w:val="single" w:color="000000" w:sz="4" w:space="0"/>
            </w:tcBorders>
          </w:tcPr>
          <w:p w14:paraId="26FE2669">
            <w:pPr>
              <w:spacing w:after="0" w:line="259" w:lineRule="auto"/>
              <w:ind w:left="0" w:right="21" w:firstLine="0"/>
              <w:jc w:val="center"/>
              <w:rPr>
                <w:rFonts w:hint="default" w:eastAsia="仿宋"/>
                <w:sz w:val="21"/>
                <w:szCs w:val="21"/>
                <w:lang w:val="en-US" w:eastAsia="zh-CN"/>
              </w:rPr>
            </w:pPr>
            <w:r>
              <w:rPr>
                <w:rFonts w:hint="eastAsia"/>
                <w:sz w:val="21"/>
                <w:szCs w:val="21"/>
                <w:lang w:val="en-US" w:eastAsia="zh-CN"/>
              </w:rPr>
              <w:t>15</w:t>
            </w:r>
          </w:p>
        </w:tc>
        <w:tc>
          <w:tcPr>
            <w:tcW w:w="978" w:type="dxa"/>
            <w:tcBorders>
              <w:top w:val="single" w:color="000000" w:sz="4" w:space="0"/>
              <w:left w:val="single" w:color="000000" w:sz="4" w:space="0"/>
              <w:bottom w:val="single" w:color="000000" w:sz="4" w:space="0"/>
              <w:right w:val="single" w:color="000000" w:sz="4" w:space="0"/>
            </w:tcBorders>
          </w:tcPr>
          <w:p w14:paraId="41BCC864">
            <w:pPr>
              <w:spacing w:after="0" w:line="259" w:lineRule="auto"/>
              <w:ind w:left="20" w:firstLine="0"/>
              <w:jc w:val="center"/>
              <w:rPr>
                <w:sz w:val="21"/>
                <w:szCs w:val="21"/>
              </w:rPr>
            </w:pPr>
            <w:r>
              <w:rPr>
                <w:sz w:val="21"/>
                <w:szCs w:val="21"/>
              </w:rPr>
              <w:t>考查</w:t>
            </w:r>
          </w:p>
        </w:tc>
        <w:tc>
          <w:tcPr>
            <w:tcW w:w="2283" w:type="dxa"/>
            <w:tcBorders>
              <w:top w:val="single" w:color="000000" w:sz="4" w:space="0"/>
              <w:left w:val="single" w:color="000000" w:sz="4" w:space="0"/>
              <w:bottom w:val="single" w:color="000000" w:sz="4" w:space="0"/>
              <w:right w:val="single" w:color="000000" w:sz="4" w:space="0"/>
            </w:tcBorders>
            <w:vAlign w:val="center"/>
          </w:tcPr>
          <w:p w14:paraId="43F32895">
            <w:pPr>
              <w:spacing w:after="0" w:line="259" w:lineRule="auto"/>
              <w:ind w:left="0" w:leftChars="0" w:right="84" w:rightChars="0" w:firstLine="0" w:firstLineChars="0"/>
              <w:jc w:val="both"/>
              <w:rPr>
                <w:rFonts w:hint="eastAsia"/>
                <w:sz w:val="21"/>
                <w:szCs w:val="21"/>
                <w:lang w:val="en-US" w:eastAsia="zh-CN"/>
              </w:rPr>
            </w:pPr>
            <w:r>
              <w:rPr>
                <w:rFonts w:hint="eastAsia"/>
              </w:rPr>
              <w:t>学术科研周+暑期</w:t>
            </w:r>
          </w:p>
        </w:tc>
      </w:tr>
      <w:tr w14:paraId="79070AC4">
        <w:tblPrEx>
          <w:tblCellMar>
            <w:top w:w="55" w:type="dxa"/>
            <w:left w:w="155" w:type="dxa"/>
            <w:bottom w:w="0" w:type="dxa"/>
            <w:right w:w="115" w:type="dxa"/>
          </w:tblCellMar>
        </w:tblPrEx>
        <w:trPr>
          <w:trHeight w:val="502" w:hRule="atLeast"/>
          <w:jc w:val="center"/>
        </w:trPr>
        <w:tc>
          <w:tcPr>
            <w:tcW w:w="532" w:type="dxa"/>
            <w:tcBorders>
              <w:top w:val="single" w:color="000000" w:sz="4" w:space="0"/>
              <w:left w:val="single" w:color="000000" w:sz="4" w:space="0"/>
              <w:bottom w:val="single" w:color="000000" w:sz="4" w:space="0"/>
              <w:right w:val="single" w:color="000000" w:sz="4" w:space="0"/>
            </w:tcBorders>
            <w:vAlign w:val="top"/>
          </w:tcPr>
          <w:p w14:paraId="2ADCA349">
            <w:pPr>
              <w:spacing w:after="0" w:line="259" w:lineRule="auto"/>
              <w:ind w:left="387" w:leftChars="0" w:hanging="377" w:firstLineChars="0"/>
              <w:jc w:val="center"/>
              <w:rPr>
                <w:rFonts w:hint="eastAsia" w:ascii="仿宋" w:hAnsi="仿宋" w:eastAsia="仿宋" w:cs="仿宋"/>
                <w:color w:val="000000"/>
                <w:kern w:val="2"/>
                <w:sz w:val="24"/>
                <w:szCs w:val="22"/>
                <w:lang w:val="en-US" w:eastAsia="zh-CN" w:bidi="ar-SA"/>
              </w:rPr>
            </w:pPr>
            <w:r>
              <w:rPr>
                <w:rFonts w:hint="eastAsia"/>
              </w:rPr>
              <w:t>3</w:t>
            </w:r>
          </w:p>
        </w:tc>
        <w:tc>
          <w:tcPr>
            <w:tcW w:w="1824" w:type="dxa"/>
            <w:tcBorders>
              <w:top w:val="single" w:color="000000" w:sz="4" w:space="0"/>
              <w:left w:val="single" w:color="000000" w:sz="4" w:space="0"/>
              <w:bottom w:val="single" w:color="000000" w:sz="4" w:space="0"/>
              <w:right w:val="single" w:color="000000" w:sz="4" w:space="0"/>
            </w:tcBorders>
          </w:tcPr>
          <w:p w14:paraId="5E302A3A">
            <w:pPr>
              <w:spacing w:after="0" w:line="259" w:lineRule="auto"/>
              <w:ind w:left="0" w:leftChars="0" w:right="84" w:rightChars="0" w:firstLine="0" w:firstLineChars="0"/>
              <w:jc w:val="center"/>
              <w:rPr>
                <w:rFonts w:hint="eastAsia"/>
                <w:sz w:val="21"/>
                <w:szCs w:val="21"/>
                <w:lang w:val="en-US" w:eastAsia="zh-CN"/>
              </w:rPr>
            </w:pPr>
            <w:r>
              <w:rPr>
                <w:rFonts w:hint="eastAsia"/>
                <w:sz w:val="21"/>
                <w:szCs w:val="21"/>
                <w:lang w:val="en-US" w:eastAsia="zh-CN"/>
              </w:rPr>
              <w:t>人工智能与化学</w:t>
            </w:r>
          </w:p>
        </w:tc>
        <w:tc>
          <w:tcPr>
            <w:tcW w:w="497" w:type="dxa"/>
            <w:tcBorders>
              <w:top w:val="single" w:color="000000" w:sz="4" w:space="0"/>
              <w:left w:val="single" w:color="000000" w:sz="4" w:space="0"/>
              <w:bottom w:val="single" w:color="000000" w:sz="4" w:space="0"/>
              <w:right w:val="single" w:color="000000" w:sz="4" w:space="0"/>
            </w:tcBorders>
            <w:vAlign w:val="center"/>
          </w:tcPr>
          <w:p w14:paraId="5C3B741E">
            <w:pPr>
              <w:spacing w:after="0" w:line="259" w:lineRule="auto"/>
              <w:ind w:left="0" w:leftChars="0" w:right="84" w:rightChars="0" w:firstLine="0" w:firstLineChars="0"/>
              <w:jc w:val="center"/>
              <w:rPr>
                <w:color w:val="auto"/>
                <w:sz w:val="21"/>
                <w:szCs w:val="21"/>
              </w:rPr>
            </w:pPr>
            <w:r>
              <w:rPr>
                <w:rFonts w:hint="eastAsia"/>
                <w:color w:val="auto"/>
                <w:sz w:val="21"/>
                <w:szCs w:val="21"/>
                <w:lang w:val="en-US" w:eastAsia="zh-CN"/>
              </w:rPr>
              <w:t>1</w:t>
            </w:r>
          </w:p>
        </w:tc>
        <w:tc>
          <w:tcPr>
            <w:tcW w:w="863" w:type="dxa"/>
            <w:tcBorders>
              <w:top w:val="single" w:color="000000" w:sz="4" w:space="0"/>
              <w:left w:val="single" w:color="000000" w:sz="4" w:space="0"/>
              <w:bottom w:val="single" w:color="000000" w:sz="4" w:space="0"/>
              <w:right w:val="single" w:color="000000" w:sz="4" w:space="0"/>
            </w:tcBorders>
            <w:vAlign w:val="center"/>
          </w:tcPr>
          <w:p w14:paraId="2010B651">
            <w:pPr>
              <w:spacing w:after="0" w:line="259" w:lineRule="auto"/>
              <w:ind w:left="0" w:leftChars="0" w:right="84" w:rightChars="0" w:firstLine="0" w:firstLineChars="0"/>
              <w:jc w:val="center"/>
              <w:rPr>
                <w:color w:val="auto"/>
                <w:sz w:val="21"/>
                <w:szCs w:val="21"/>
              </w:rPr>
            </w:pPr>
            <w:r>
              <w:rPr>
                <w:rFonts w:hint="eastAsia"/>
                <w:color w:val="auto"/>
                <w:sz w:val="21"/>
                <w:szCs w:val="21"/>
                <w:lang w:val="en-US" w:eastAsia="zh-CN"/>
              </w:rPr>
              <w:t>18</w:t>
            </w:r>
          </w:p>
        </w:tc>
        <w:tc>
          <w:tcPr>
            <w:tcW w:w="826" w:type="dxa"/>
            <w:tcBorders>
              <w:top w:val="single" w:color="000000" w:sz="4" w:space="0"/>
              <w:left w:val="single" w:color="000000" w:sz="4" w:space="0"/>
              <w:bottom w:val="single" w:color="000000" w:sz="4" w:space="0"/>
              <w:right w:val="single" w:color="000000" w:sz="4" w:space="0"/>
            </w:tcBorders>
            <w:vAlign w:val="center"/>
          </w:tcPr>
          <w:p w14:paraId="520058C7">
            <w:pPr>
              <w:spacing w:after="0" w:line="259" w:lineRule="auto"/>
              <w:ind w:left="0" w:leftChars="0" w:right="84" w:rightChars="0" w:firstLine="0" w:firstLineChars="0"/>
              <w:jc w:val="center"/>
              <w:rPr>
                <w:rFonts w:hint="default"/>
                <w:sz w:val="21"/>
                <w:szCs w:val="21"/>
                <w:lang w:val="en-US"/>
              </w:rPr>
            </w:pPr>
            <w:r>
              <w:rPr>
                <w:rFonts w:hint="eastAsia"/>
                <w:sz w:val="21"/>
                <w:szCs w:val="21"/>
                <w:lang w:val="en-US" w:eastAsia="zh-CN"/>
              </w:rPr>
              <w:t>10</w:t>
            </w:r>
          </w:p>
        </w:tc>
        <w:tc>
          <w:tcPr>
            <w:tcW w:w="846" w:type="dxa"/>
            <w:tcBorders>
              <w:top w:val="single" w:color="000000" w:sz="4" w:space="0"/>
              <w:left w:val="single" w:color="000000" w:sz="4" w:space="0"/>
              <w:bottom w:val="single" w:color="000000" w:sz="4" w:space="0"/>
              <w:right w:val="single" w:color="000000" w:sz="4" w:space="0"/>
            </w:tcBorders>
            <w:vAlign w:val="center"/>
          </w:tcPr>
          <w:p w14:paraId="61D69EE4">
            <w:pPr>
              <w:spacing w:after="0" w:line="259" w:lineRule="auto"/>
              <w:ind w:left="0" w:leftChars="0" w:right="84" w:rightChars="0" w:firstLine="0" w:firstLineChars="0"/>
              <w:jc w:val="center"/>
              <w:rPr>
                <w:sz w:val="21"/>
                <w:szCs w:val="21"/>
              </w:rPr>
            </w:pPr>
            <w:r>
              <w:rPr>
                <w:rFonts w:hint="eastAsia"/>
                <w:sz w:val="21"/>
                <w:szCs w:val="21"/>
                <w:lang w:val="en-US" w:eastAsia="zh-CN"/>
              </w:rPr>
              <w:t>8</w:t>
            </w:r>
          </w:p>
        </w:tc>
        <w:tc>
          <w:tcPr>
            <w:tcW w:w="978" w:type="dxa"/>
            <w:tcBorders>
              <w:top w:val="single" w:color="000000" w:sz="4" w:space="0"/>
              <w:left w:val="single" w:color="000000" w:sz="4" w:space="0"/>
              <w:bottom w:val="single" w:color="000000" w:sz="4" w:space="0"/>
              <w:right w:val="single" w:color="000000" w:sz="4" w:space="0"/>
            </w:tcBorders>
          </w:tcPr>
          <w:p w14:paraId="22AEC8F7">
            <w:pPr>
              <w:spacing w:after="0" w:line="259" w:lineRule="auto"/>
              <w:ind w:left="0" w:firstLine="0"/>
              <w:jc w:val="center"/>
              <w:rPr>
                <w:sz w:val="21"/>
                <w:szCs w:val="21"/>
              </w:rPr>
            </w:pPr>
            <w:r>
              <w:rPr>
                <w:sz w:val="21"/>
                <w:szCs w:val="21"/>
              </w:rPr>
              <w:t>考查</w:t>
            </w:r>
          </w:p>
        </w:tc>
        <w:tc>
          <w:tcPr>
            <w:tcW w:w="2283" w:type="dxa"/>
            <w:tcBorders>
              <w:top w:val="single" w:color="000000" w:sz="4" w:space="0"/>
              <w:left w:val="single" w:color="000000" w:sz="4" w:space="0"/>
              <w:bottom w:val="single" w:color="000000" w:sz="4" w:space="0"/>
              <w:right w:val="single" w:color="000000" w:sz="4" w:space="0"/>
            </w:tcBorders>
            <w:vAlign w:val="center"/>
          </w:tcPr>
          <w:p w14:paraId="469A62E0">
            <w:pPr>
              <w:spacing w:after="0" w:line="259" w:lineRule="auto"/>
              <w:ind w:left="0" w:leftChars="0" w:right="84" w:rightChars="0" w:firstLine="0" w:firstLineChars="0"/>
              <w:jc w:val="both"/>
              <w:rPr>
                <w:rFonts w:hint="eastAsia"/>
                <w:sz w:val="21"/>
                <w:szCs w:val="21"/>
                <w:lang w:val="en-US" w:eastAsia="zh-CN"/>
              </w:rPr>
            </w:pPr>
            <w:r>
              <w:rPr>
                <w:rFonts w:hint="eastAsia"/>
              </w:rPr>
              <w:t>学术科研周+暑期</w:t>
            </w:r>
          </w:p>
        </w:tc>
      </w:tr>
      <w:tr w14:paraId="1739DC0D">
        <w:tblPrEx>
          <w:tblCellMar>
            <w:top w:w="55" w:type="dxa"/>
            <w:left w:w="155" w:type="dxa"/>
            <w:bottom w:w="0" w:type="dxa"/>
            <w:right w:w="115" w:type="dxa"/>
          </w:tblCellMar>
        </w:tblPrEx>
        <w:trPr>
          <w:trHeight w:val="502" w:hRule="atLeast"/>
          <w:jc w:val="center"/>
        </w:trPr>
        <w:tc>
          <w:tcPr>
            <w:tcW w:w="532" w:type="dxa"/>
            <w:tcBorders>
              <w:top w:val="single" w:color="000000" w:sz="4" w:space="0"/>
              <w:left w:val="single" w:color="000000" w:sz="4" w:space="0"/>
              <w:bottom w:val="single" w:color="000000" w:sz="4" w:space="0"/>
              <w:right w:val="single" w:color="000000" w:sz="4" w:space="0"/>
            </w:tcBorders>
            <w:vAlign w:val="top"/>
          </w:tcPr>
          <w:p w14:paraId="7BCF1857">
            <w:pPr>
              <w:spacing w:after="0" w:line="259" w:lineRule="auto"/>
              <w:ind w:left="387" w:leftChars="0" w:hanging="377" w:firstLineChars="0"/>
              <w:jc w:val="center"/>
              <w:rPr>
                <w:rFonts w:hint="eastAsia" w:eastAsia="仿宋"/>
                <w:lang w:val="en-US" w:eastAsia="zh-CN"/>
              </w:rPr>
            </w:pPr>
            <w:r>
              <w:rPr>
                <w:rFonts w:hint="eastAsia"/>
                <w:lang w:val="en-US" w:eastAsia="zh-CN"/>
              </w:rPr>
              <w:t>4</w:t>
            </w:r>
          </w:p>
        </w:tc>
        <w:tc>
          <w:tcPr>
            <w:tcW w:w="1824" w:type="dxa"/>
            <w:tcBorders>
              <w:top w:val="single" w:color="000000" w:sz="4" w:space="0"/>
              <w:left w:val="single" w:color="000000" w:sz="4" w:space="0"/>
              <w:bottom w:val="single" w:color="000000" w:sz="4" w:space="0"/>
              <w:right w:val="single" w:color="000000" w:sz="4" w:space="0"/>
            </w:tcBorders>
            <w:vAlign w:val="top"/>
          </w:tcPr>
          <w:p w14:paraId="579E073A">
            <w:pPr>
              <w:spacing w:after="0" w:line="259" w:lineRule="auto"/>
              <w:ind w:left="0" w:leftChars="0" w:right="84" w:rightChars="0" w:firstLine="0" w:firstLineChars="0"/>
              <w:jc w:val="center"/>
              <w:rPr>
                <w:rFonts w:hint="eastAsia" w:ascii="仿宋" w:hAnsi="仿宋" w:eastAsia="仿宋" w:cs="仿宋"/>
                <w:color w:val="000000"/>
                <w:kern w:val="2"/>
                <w:sz w:val="21"/>
                <w:szCs w:val="21"/>
                <w:lang w:val="en-US" w:eastAsia="zh-CN" w:bidi="ar-SA"/>
              </w:rPr>
            </w:pPr>
            <w:r>
              <w:rPr>
                <w:rFonts w:hint="eastAsia"/>
                <w:sz w:val="21"/>
                <w:szCs w:val="21"/>
                <w:lang w:val="en-US" w:eastAsia="zh-CN"/>
              </w:rPr>
              <w:t>芯片制造与化学</w:t>
            </w:r>
          </w:p>
        </w:tc>
        <w:tc>
          <w:tcPr>
            <w:tcW w:w="497" w:type="dxa"/>
            <w:tcBorders>
              <w:top w:val="single" w:color="000000" w:sz="4" w:space="0"/>
              <w:left w:val="single" w:color="000000" w:sz="4" w:space="0"/>
              <w:bottom w:val="single" w:color="000000" w:sz="4" w:space="0"/>
              <w:right w:val="single" w:color="000000" w:sz="4" w:space="0"/>
            </w:tcBorders>
            <w:vAlign w:val="top"/>
          </w:tcPr>
          <w:p w14:paraId="3B56D471">
            <w:pPr>
              <w:spacing w:after="0" w:line="259" w:lineRule="auto"/>
              <w:ind w:left="0" w:leftChars="0" w:right="81" w:rightChars="0" w:firstLine="0" w:firstLineChars="0"/>
              <w:jc w:val="center"/>
              <w:rPr>
                <w:rFonts w:hint="eastAsia" w:ascii="仿宋" w:hAnsi="仿宋" w:eastAsia="仿宋" w:cs="仿宋"/>
                <w:color w:val="auto"/>
                <w:kern w:val="2"/>
                <w:sz w:val="21"/>
                <w:szCs w:val="21"/>
                <w:lang w:val="en-US" w:eastAsia="zh-CN" w:bidi="ar-SA"/>
              </w:rPr>
            </w:pPr>
            <w:r>
              <w:rPr>
                <w:rFonts w:hint="eastAsia"/>
                <w:color w:val="auto"/>
                <w:sz w:val="21"/>
                <w:szCs w:val="21"/>
                <w:lang w:val="en-US" w:eastAsia="zh-CN"/>
              </w:rPr>
              <w:t>1</w:t>
            </w:r>
          </w:p>
        </w:tc>
        <w:tc>
          <w:tcPr>
            <w:tcW w:w="863" w:type="dxa"/>
            <w:tcBorders>
              <w:top w:val="single" w:color="000000" w:sz="4" w:space="0"/>
              <w:left w:val="single" w:color="000000" w:sz="4" w:space="0"/>
              <w:bottom w:val="single" w:color="000000" w:sz="4" w:space="0"/>
              <w:right w:val="single" w:color="000000" w:sz="4" w:space="0"/>
            </w:tcBorders>
            <w:vAlign w:val="top"/>
          </w:tcPr>
          <w:p w14:paraId="59C1806E">
            <w:pPr>
              <w:spacing w:after="0" w:line="259" w:lineRule="auto"/>
              <w:ind w:left="0" w:leftChars="0" w:right="83" w:rightChars="0" w:firstLine="0" w:firstLineChars="0"/>
              <w:jc w:val="center"/>
              <w:rPr>
                <w:rFonts w:hint="eastAsia" w:ascii="仿宋" w:hAnsi="仿宋" w:eastAsia="仿宋" w:cs="仿宋"/>
                <w:color w:val="auto"/>
                <w:kern w:val="2"/>
                <w:sz w:val="21"/>
                <w:szCs w:val="21"/>
                <w:lang w:val="en-US" w:eastAsia="zh-CN" w:bidi="ar-SA"/>
              </w:rPr>
            </w:pPr>
            <w:r>
              <w:rPr>
                <w:rFonts w:hint="eastAsia" w:cs="仿宋"/>
                <w:color w:val="auto"/>
                <w:kern w:val="2"/>
                <w:sz w:val="21"/>
                <w:szCs w:val="21"/>
                <w:lang w:val="en-US" w:eastAsia="zh-CN" w:bidi="ar-SA"/>
              </w:rPr>
              <w:t>18</w:t>
            </w:r>
          </w:p>
        </w:tc>
        <w:tc>
          <w:tcPr>
            <w:tcW w:w="826" w:type="dxa"/>
            <w:tcBorders>
              <w:top w:val="single" w:color="000000" w:sz="4" w:space="0"/>
              <w:left w:val="single" w:color="000000" w:sz="4" w:space="0"/>
              <w:bottom w:val="single" w:color="000000" w:sz="4" w:space="0"/>
              <w:right w:val="single" w:color="000000" w:sz="4" w:space="0"/>
            </w:tcBorders>
            <w:vAlign w:val="center"/>
          </w:tcPr>
          <w:p w14:paraId="5CA1C6D9">
            <w:pPr>
              <w:spacing w:after="0" w:line="259" w:lineRule="auto"/>
              <w:ind w:left="0" w:leftChars="0" w:right="84" w:rightChars="0" w:firstLine="0" w:firstLineChars="0"/>
              <w:jc w:val="center"/>
              <w:rPr>
                <w:rFonts w:hint="default" w:ascii="仿宋" w:hAnsi="仿宋" w:eastAsia="仿宋" w:cs="仿宋"/>
                <w:color w:val="000000"/>
                <w:kern w:val="2"/>
                <w:sz w:val="21"/>
                <w:szCs w:val="21"/>
                <w:lang w:val="en-US" w:eastAsia="zh-CN" w:bidi="ar-SA"/>
              </w:rPr>
            </w:pPr>
            <w:r>
              <w:rPr>
                <w:rFonts w:hint="eastAsia"/>
                <w:sz w:val="21"/>
                <w:szCs w:val="21"/>
                <w:lang w:val="en-US" w:eastAsia="zh-CN"/>
              </w:rPr>
              <w:t>10</w:t>
            </w:r>
          </w:p>
        </w:tc>
        <w:tc>
          <w:tcPr>
            <w:tcW w:w="846" w:type="dxa"/>
            <w:tcBorders>
              <w:top w:val="single" w:color="000000" w:sz="4" w:space="0"/>
              <w:left w:val="single" w:color="000000" w:sz="4" w:space="0"/>
              <w:bottom w:val="single" w:color="000000" w:sz="4" w:space="0"/>
              <w:right w:val="single" w:color="000000" w:sz="4" w:space="0"/>
            </w:tcBorders>
            <w:vAlign w:val="center"/>
          </w:tcPr>
          <w:p w14:paraId="7B0541AB">
            <w:pPr>
              <w:spacing w:after="0" w:line="259" w:lineRule="auto"/>
              <w:ind w:left="0" w:leftChars="0" w:right="84" w:rightChars="0" w:firstLine="0" w:firstLineChars="0"/>
              <w:jc w:val="center"/>
              <w:rPr>
                <w:rFonts w:hint="eastAsia" w:ascii="仿宋" w:hAnsi="仿宋" w:eastAsia="仿宋" w:cs="仿宋"/>
                <w:color w:val="000000"/>
                <w:kern w:val="2"/>
                <w:sz w:val="21"/>
                <w:szCs w:val="21"/>
                <w:lang w:val="en-US" w:eastAsia="zh-CN" w:bidi="ar-SA"/>
              </w:rPr>
            </w:pPr>
            <w:r>
              <w:rPr>
                <w:rFonts w:hint="eastAsia"/>
                <w:sz w:val="21"/>
                <w:szCs w:val="21"/>
                <w:lang w:val="en-US" w:eastAsia="zh-CN"/>
              </w:rPr>
              <w:t>8</w:t>
            </w:r>
          </w:p>
        </w:tc>
        <w:tc>
          <w:tcPr>
            <w:tcW w:w="978" w:type="dxa"/>
            <w:tcBorders>
              <w:top w:val="single" w:color="000000" w:sz="4" w:space="0"/>
              <w:left w:val="single" w:color="000000" w:sz="4" w:space="0"/>
              <w:bottom w:val="single" w:color="000000" w:sz="4" w:space="0"/>
              <w:right w:val="single" w:color="000000" w:sz="4" w:space="0"/>
            </w:tcBorders>
            <w:vAlign w:val="top"/>
          </w:tcPr>
          <w:p w14:paraId="4EEAD079">
            <w:pPr>
              <w:spacing w:after="0" w:line="259" w:lineRule="auto"/>
              <w:ind w:left="0" w:leftChars="0" w:firstLine="0" w:firstLineChars="0"/>
              <w:jc w:val="center"/>
              <w:rPr>
                <w:rFonts w:ascii="仿宋" w:hAnsi="仿宋" w:eastAsia="仿宋" w:cs="仿宋"/>
                <w:color w:val="000000"/>
                <w:kern w:val="2"/>
                <w:sz w:val="21"/>
                <w:szCs w:val="21"/>
                <w:lang w:val="en-US" w:eastAsia="zh-CN" w:bidi="ar-SA"/>
              </w:rPr>
            </w:pPr>
            <w:r>
              <w:rPr>
                <w:sz w:val="21"/>
                <w:szCs w:val="21"/>
              </w:rPr>
              <w:t>考查</w:t>
            </w:r>
          </w:p>
        </w:tc>
        <w:tc>
          <w:tcPr>
            <w:tcW w:w="2283" w:type="dxa"/>
            <w:tcBorders>
              <w:top w:val="single" w:color="000000" w:sz="4" w:space="0"/>
              <w:left w:val="single" w:color="000000" w:sz="4" w:space="0"/>
              <w:bottom w:val="single" w:color="000000" w:sz="4" w:space="0"/>
              <w:right w:val="single" w:color="000000" w:sz="4" w:space="0"/>
            </w:tcBorders>
            <w:vAlign w:val="center"/>
          </w:tcPr>
          <w:p w14:paraId="72B0EB5A">
            <w:pPr>
              <w:spacing w:after="0" w:line="259" w:lineRule="auto"/>
              <w:ind w:left="0" w:leftChars="0" w:right="84" w:rightChars="0" w:firstLine="0" w:firstLineChars="0"/>
              <w:jc w:val="both"/>
              <w:rPr>
                <w:rFonts w:hint="eastAsia" w:ascii="仿宋" w:hAnsi="仿宋" w:eastAsia="仿宋" w:cs="仿宋"/>
                <w:color w:val="000000"/>
                <w:kern w:val="2"/>
                <w:sz w:val="21"/>
                <w:szCs w:val="21"/>
                <w:lang w:val="en-US" w:eastAsia="zh-CN" w:bidi="ar-SA"/>
              </w:rPr>
            </w:pPr>
            <w:r>
              <w:rPr>
                <w:rFonts w:hint="eastAsia"/>
              </w:rPr>
              <w:t>学术科研周+暑期</w:t>
            </w:r>
          </w:p>
        </w:tc>
      </w:tr>
      <w:tr w14:paraId="5E86B25F">
        <w:tblPrEx>
          <w:tblCellMar>
            <w:top w:w="55" w:type="dxa"/>
            <w:left w:w="155" w:type="dxa"/>
            <w:bottom w:w="0" w:type="dxa"/>
            <w:right w:w="115" w:type="dxa"/>
          </w:tblCellMar>
        </w:tblPrEx>
        <w:trPr>
          <w:trHeight w:val="502" w:hRule="atLeast"/>
          <w:jc w:val="center"/>
        </w:trPr>
        <w:tc>
          <w:tcPr>
            <w:tcW w:w="532" w:type="dxa"/>
            <w:tcBorders>
              <w:top w:val="single" w:color="000000" w:sz="4" w:space="0"/>
              <w:left w:val="single" w:color="000000" w:sz="4" w:space="0"/>
              <w:bottom w:val="single" w:color="000000" w:sz="4" w:space="0"/>
              <w:right w:val="single" w:color="000000" w:sz="4" w:space="0"/>
            </w:tcBorders>
            <w:vAlign w:val="top"/>
          </w:tcPr>
          <w:p w14:paraId="1E1D5120">
            <w:pPr>
              <w:spacing w:after="0" w:line="259" w:lineRule="auto"/>
              <w:ind w:left="636" w:leftChars="0" w:hanging="626" w:firstLineChars="0"/>
              <w:jc w:val="center"/>
              <w:rPr>
                <w:rFonts w:hint="default" w:ascii="仿宋" w:hAnsi="仿宋" w:eastAsia="仿宋" w:cs="仿宋"/>
                <w:color w:val="000000"/>
                <w:kern w:val="2"/>
                <w:sz w:val="24"/>
                <w:szCs w:val="22"/>
                <w:lang w:val="en-US" w:eastAsia="zh-CN" w:bidi="ar-SA"/>
              </w:rPr>
            </w:pPr>
            <w:r>
              <w:rPr>
                <w:rFonts w:hint="eastAsia" w:cs="仿宋"/>
                <w:color w:val="000000"/>
                <w:kern w:val="2"/>
                <w:sz w:val="24"/>
                <w:szCs w:val="22"/>
                <w:lang w:val="en-US" w:eastAsia="zh-CN" w:bidi="ar-SA"/>
              </w:rPr>
              <w:t>5</w:t>
            </w:r>
          </w:p>
        </w:tc>
        <w:tc>
          <w:tcPr>
            <w:tcW w:w="1824" w:type="dxa"/>
            <w:tcBorders>
              <w:top w:val="single" w:color="000000" w:sz="4" w:space="0"/>
              <w:left w:val="single" w:color="000000" w:sz="4" w:space="0"/>
              <w:bottom w:val="single" w:color="000000" w:sz="4" w:space="0"/>
              <w:right w:val="single" w:color="000000" w:sz="4" w:space="0"/>
            </w:tcBorders>
            <w:vAlign w:val="top"/>
          </w:tcPr>
          <w:p w14:paraId="2B64C463">
            <w:pPr>
              <w:spacing w:after="0" w:line="259" w:lineRule="auto"/>
              <w:ind w:left="0" w:leftChars="0" w:right="84" w:rightChars="0" w:firstLine="0" w:firstLineChars="0"/>
              <w:jc w:val="center"/>
              <w:rPr>
                <w:rFonts w:hint="eastAsia"/>
                <w:sz w:val="21"/>
                <w:szCs w:val="21"/>
                <w:lang w:val="en-US" w:eastAsia="zh-CN"/>
              </w:rPr>
            </w:pPr>
            <w:r>
              <w:rPr>
                <w:rFonts w:hint="eastAsia"/>
                <w:sz w:val="21"/>
                <w:szCs w:val="21"/>
                <w:lang w:val="en-US" w:eastAsia="zh-CN"/>
              </w:rPr>
              <w:t>AI+化工安全</w:t>
            </w:r>
          </w:p>
        </w:tc>
        <w:tc>
          <w:tcPr>
            <w:tcW w:w="497" w:type="dxa"/>
            <w:tcBorders>
              <w:top w:val="single" w:color="000000" w:sz="4" w:space="0"/>
              <w:left w:val="single" w:color="000000" w:sz="4" w:space="0"/>
              <w:bottom w:val="single" w:color="000000" w:sz="4" w:space="0"/>
              <w:right w:val="single" w:color="000000" w:sz="4" w:space="0"/>
            </w:tcBorders>
            <w:vAlign w:val="top"/>
          </w:tcPr>
          <w:p w14:paraId="3B078253">
            <w:pPr>
              <w:spacing w:after="0" w:line="259" w:lineRule="auto"/>
              <w:ind w:left="0" w:leftChars="0" w:right="81" w:rightChars="0" w:firstLine="0" w:firstLineChars="0"/>
              <w:jc w:val="center"/>
              <w:rPr>
                <w:rFonts w:ascii="仿宋" w:hAnsi="仿宋" w:eastAsia="仿宋" w:cs="仿宋"/>
                <w:color w:val="auto"/>
                <w:kern w:val="2"/>
                <w:sz w:val="21"/>
                <w:szCs w:val="21"/>
                <w:lang w:val="en-US" w:eastAsia="zh-CN" w:bidi="ar-SA"/>
              </w:rPr>
            </w:pPr>
            <w:r>
              <w:rPr>
                <w:rFonts w:hint="eastAsia"/>
                <w:color w:val="auto"/>
                <w:sz w:val="21"/>
                <w:szCs w:val="21"/>
                <w:lang w:val="en-US" w:eastAsia="zh-CN"/>
              </w:rPr>
              <w:t>1</w:t>
            </w:r>
          </w:p>
        </w:tc>
        <w:tc>
          <w:tcPr>
            <w:tcW w:w="863" w:type="dxa"/>
            <w:tcBorders>
              <w:top w:val="single" w:color="000000" w:sz="4" w:space="0"/>
              <w:left w:val="single" w:color="000000" w:sz="4" w:space="0"/>
              <w:bottom w:val="single" w:color="000000" w:sz="4" w:space="0"/>
              <w:right w:val="single" w:color="000000" w:sz="4" w:space="0"/>
            </w:tcBorders>
            <w:vAlign w:val="top"/>
          </w:tcPr>
          <w:p w14:paraId="737EE405">
            <w:pPr>
              <w:spacing w:after="0" w:line="259" w:lineRule="auto"/>
              <w:ind w:left="0" w:leftChars="0" w:right="83" w:rightChars="0" w:firstLine="0" w:firstLineChars="0"/>
              <w:jc w:val="center"/>
              <w:rPr>
                <w:rFonts w:ascii="仿宋" w:hAnsi="仿宋" w:eastAsia="仿宋" w:cs="仿宋"/>
                <w:color w:val="auto"/>
                <w:kern w:val="2"/>
                <w:sz w:val="21"/>
                <w:szCs w:val="21"/>
                <w:lang w:val="en-US" w:eastAsia="zh-CN" w:bidi="ar-SA"/>
              </w:rPr>
            </w:pPr>
            <w:r>
              <w:rPr>
                <w:rFonts w:hint="eastAsia" w:cs="仿宋"/>
                <w:color w:val="auto"/>
                <w:kern w:val="2"/>
                <w:sz w:val="21"/>
                <w:szCs w:val="21"/>
                <w:lang w:val="en-US" w:eastAsia="zh-CN" w:bidi="ar-SA"/>
              </w:rPr>
              <w:t>18</w:t>
            </w:r>
          </w:p>
        </w:tc>
        <w:tc>
          <w:tcPr>
            <w:tcW w:w="826" w:type="dxa"/>
            <w:tcBorders>
              <w:top w:val="single" w:color="000000" w:sz="4" w:space="0"/>
              <w:left w:val="single" w:color="000000" w:sz="4" w:space="0"/>
              <w:bottom w:val="single" w:color="000000" w:sz="4" w:space="0"/>
              <w:right w:val="single" w:color="000000" w:sz="4" w:space="0"/>
            </w:tcBorders>
            <w:vAlign w:val="center"/>
          </w:tcPr>
          <w:p w14:paraId="646D2C0A">
            <w:pPr>
              <w:spacing w:after="0" w:line="259" w:lineRule="auto"/>
              <w:ind w:left="0" w:leftChars="0" w:right="84" w:rightChars="0" w:firstLine="0" w:firstLineChars="0"/>
              <w:jc w:val="center"/>
              <w:rPr>
                <w:rFonts w:ascii="仿宋" w:hAnsi="仿宋" w:eastAsia="仿宋" w:cs="仿宋"/>
                <w:color w:val="000000"/>
                <w:kern w:val="2"/>
                <w:sz w:val="21"/>
                <w:szCs w:val="21"/>
                <w:lang w:val="en-US" w:eastAsia="zh-CN" w:bidi="ar-SA"/>
              </w:rPr>
            </w:pPr>
            <w:r>
              <w:rPr>
                <w:rFonts w:hint="eastAsia"/>
                <w:sz w:val="21"/>
                <w:szCs w:val="21"/>
                <w:lang w:val="en-US" w:eastAsia="zh-CN"/>
              </w:rPr>
              <w:t>9</w:t>
            </w:r>
          </w:p>
        </w:tc>
        <w:tc>
          <w:tcPr>
            <w:tcW w:w="846" w:type="dxa"/>
            <w:tcBorders>
              <w:top w:val="single" w:color="000000" w:sz="4" w:space="0"/>
              <w:left w:val="single" w:color="000000" w:sz="4" w:space="0"/>
              <w:bottom w:val="single" w:color="000000" w:sz="4" w:space="0"/>
              <w:right w:val="single" w:color="000000" w:sz="4" w:space="0"/>
            </w:tcBorders>
            <w:vAlign w:val="center"/>
          </w:tcPr>
          <w:p w14:paraId="66DC4E61">
            <w:pPr>
              <w:spacing w:after="0" w:line="259" w:lineRule="auto"/>
              <w:ind w:left="0" w:leftChars="0" w:right="84" w:rightChars="0" w:firstLine="0" w:firstLineChars="0"/>
              <w:jc w:val="center"/>
              <w:rPr>
                <w:rFonts w:ascii="仿宋" w:hAnsi="仿宋" w:eastAsia="仿宋" w:cs="仿宋"/>
                <w:color w:val="000000"/>
                <w:kern w:val="2"/>
                <w:sz w:val="21"/>
                <w:szCs w:val="21"/>
                <w:lang w:val="en-US" w:eastAsia="zh-CN" w:bidi="ar-SA"/>
              </w:rPr>
            </w:pPr>
            <w:r>
              <w:rPr>
                <w:rFonts w:hint="eastAsia"/>
                <w:sz w:val="21"/>
                <w:szCs w:val="21"/>
                <w:lang w:val="en-US" w:eastAsia="zh-CN"/>
              </w:rPr>
              <w:t>9</w:t>
            </w:r>
          </w:p>
        </w:tc>
        <w:tc>
          <w:tcPr>
            <w:tcW w:w="978" w:type="dxa"/>
            <w:tcBorders>
              <w:top w:val="single" w:color="000000" w:sz="4" w:space="0"/>
              <w:left w:val="single" w:color="000000" w:sz="4" w:space="0"/>
              <w:bottom w:val="single" w:color="000000" w:sz="4" w:space="0"/>
              <w:right w:val="single" w:color="000000" w:sz="4" w:space="0"/>
            </w:tcBorders>
            <w:vAlign w:val="center"/>
          </w:tcPr>
          <w:p w14:paraId="63E8C1C2">
            <w:pPr>
              <w:spacing w:after="0" w:line="259" w:lineRule="auto"/>
              <w:ind w:left="0" w:leftChars="0" w:firstLine="0" w:firstLineChars="0"/>
              <w:jc w:val="center"/>
              <w:rPr>
                <w:rFonts w:ascii="仿宋" w:hAnsi="仿宋" w:eastAsia="仿宋" w:cs="仿宋"/>
                <w:color w:val="000000"/>
                <w:kern w:val="2"/>
                <w:sz w:val="21"/>
                <w:szCs w:val="21"/>
                <w:lang w:val="en-US" w:eastAsia="zh-CN" w:bidi="ar-SA"/>
              </w:rPr>
            </w:pPr>
            <w:r>
              <w:rPr>
                <w:sz w:val="21"/>
                <w:szCs w:val="21"/>
              </w:rPr>
              <w:t>考查</w:t>
            </w:r>
          </w:p>
        </w:tc>
        <w:tc>
          <w:tcPr>
            <w:tcW w:w="2283" w:type="dxa"/>
            <w:tcBorders>
              <w:top w:val="single" w:color="000000" w:sz="4" w:space="0"/>
              <w:left w:val="single" w:color="000000" w:sz="4" w:space="0"/>
              <w:bottom w:val="single" w:color="000000" w:sz="4" w:space="0"/>
              <w:right w:val="single" w:color="000000" w:sz="4" w:space="0"/>
            </w:tcBorders>
            <w:vAlign w:val="center"/>
          </w:tcPr>
          <w:p w14:paraId="5105A4F2">
            <w:pPr>
              <w:spacing w:after="0" w:line="259" w:lineRule="auto"/>
              <w:ind w:left="0" w:leftChars="0" w:right="84" w:rightChars="0" w:firstLine="0" w:firstLineChars="0"/>
              <w:jc w:val="both"/>
              <w:rPr>
                <w:rFonts w:hint="eastAsia"/>
                <w:sz w:val="21"/>
                <w:szCs w:val="21"/>
                <w:lang w:val="en-US" w:eastAsia="zh-CN"/>
              </w:rPr>
            </w:pPr>
            <w:r>
              <w:rPr>
                <w:rFonts w:hint="eastAsia"/>
              </w:rPr>
              <w:t>学术科研周+暑期</w:t>
            </w:r>
          </w:p>
        </w:tc>
      </w:tr>
      <w:tr w14:paraId="5F7FB496">
        <w:tblPrEx>
          <w:tblCellMar>
            <w:top w:w="55" w:type="dxa"/>
            <w:left w:w="155" w:type="dxa"/>
            <w:bottom w:w="0" w:type="dxa"/>
            <w:right w:w="115" w:type="dxa"/>
          </w:tblCellMar>
        </w:tblPrEx>
        <w:trPr>
          <w:trHeight w:val="502" w:hRule="atLeast"/>
          <w:jc w:val="center"/>
        </w:trPr>
        <w:tc>
          <w:tcPr>
            <w:tcW w:w="532" w:type="dxa"/>
            <w:tcBorders>
              <w:top w:val="single" w:color="000000" w:sz="4" w:space="0"/>
              <w:left w:val="single" w:color="000000" w:sz="4" w:space="0"/>
              <w:bottom w:val="single" w:color="000000" w:sz="4" w:space="0"/>
              <w:right w:val="single" w:color="000000" w:sz="4" w:space="0"/>
            </w:tcBorders>
            <w:vAlign w:val="top"/>
          </w:tcPr>
          <w:p w14:paraId="3FC5D750">
            <w:pPr>
              <w:spacing w:after="0" w:line="259" w:lineRule="auto"/>
              <w:ind w:left="636" w:leftChars="0" w:hanging="626" w:firstLineChars="0"/>
              <w:jc w:val="center"/>
              <w:rPr>
                <w:rFonts w:hint="default" w:ascii="仿宋" w:hAnsi="仿宋" w:eastAsia="仿宋" w:cs="仿宋"/>
                <w:color w:val="000000"/>
                <w:kern w:val="2"/>
                <w:sz w:val="24"/>
                <w:szCs w:val="22"/>
                <w:lang w:val="en-US" w:eastAsia="zh-CN" w:bidi="ar-SA"/>
              </w:rPr>
            </w:pPr>
            <w:r>
              <w:rPr>
                <w:rFonts w:hint="eastAsia" w:cs="仿宋"/>
                <w:color w:val="000000"/>
                <w:kern w:val="2"/>
                <w:sz w:val="24"/>
                <w:szCs w:val="22"/>
                <w:lang w:val="en-US" w:eastAsia="zh-CN" w:bidi="ar-SA"/>
              </w:rPr>
              <w:t>6</w:t>
            </w:r>
          </w:p>
        </w:tc>
        <w:tc>
          <w:tcPr>
            <w:tcW w:w="1824" w:type="dxa"/>
            <w:tcBorders>
              <w:top w:val="single" w:color="000000" w:sz="4" w:space="0"/>
              <w:left w:val="single" w:color="000000" w:sz="4" w:space="0"/>
              <w:bottom w:val="single" w:color="000000" w:sz="4" w:space="0"/>
              <w:right w:val="single" w:color="000000" w:sz="4" w:space="0"/>
            </w:tcBorders>
            <w:vAlign w:val="top"/>
          </w:tcPr>
          <w:p w14:paraId="5154AD2B">
            <w:pPr>
              <w:spacing w:after="0" w:line="259" w:lineRule="auto"/>
              <w:ind w:left="0" w:leftChars="0" w:right="84" w:rightChars="0" w:firstLine="0" w:firstLineChars="0"/>
              <w:jc w:val="both"/>
              <w:rPr>
                <w:rFonts w:hint="eastAsia"/>
                <w:sz w:val="21"/>
                <w:szCs w:val="21"/>
                <w:lang w:val="en-US" w:eastAsia="zh-CN"/>
              </w:rPr>
            </w:pPr>
            <w:r>
              <w:rPr>
                <w:rFonts w:hint="eastAsia"/>
                <w:sz w:val="21"/>
                <w:szCs w:val="21"/>
                <w:lang w:val="en-US" w:eastAsia="zh-CN"/>
              </w:rPr>
              <w:t>AI+智慧环境检测</w:t>
            </w:r>
          </w:p>
        </w:tc>
        <w:tc>
          <w:tcPr>
            <w:tcW w:w="497" w:type="dxa"/>
            <w:tcBorders>
              <w:top w:val="single" w:color="000000" w:sz="4" w:space="0"/>
              <w:left w:val="single" w:color="000000" w:sz="4" w:space="0"/>
              <w:bottom w:val="single" w:color="000000" w:sz="4" w:space="0"/>
              <w:right w:val="single" w:color="000000" w:sz="4" w:space="0"/>
            </w:tcBorders>
            <w:vAlign w:val="center"/>
          </w:tcPr>
          <w:p w14:paraId="68376938">
            <w:pPr>
              <w:spacing w:after="0" w:line="259" w:lineRule="auto"/>
              <w:ind w:left="0" w:leftChars="0" w:right="81" w:rightChars="0" w:firstLine="0" w:firstLineChars="0"/>
              <w:jc w:val="center"/>
              <w:rPr>
                <w:rFonts w:ascii="仿宋" w:hAnsi="仿宋" w:eastAsia="仿宋" w:cs="仿宋"/>
                <w:color w:val="auto"/>
                <w:kern w:val="2"/>
                <w:sz w:val="21"/>
                <w:szCs w:val="21"/>
                <w:lang w:val="en-US" w:eastAsia="zh-CN" w:bidi="ar-SA"/>
              </w:rPr>
            </w:pPr>
            <w:r>
              <w:rPr>
                <w:rFonts w:hint="eastAsia"/>
                <w:color w:val="auto"/>
                <w:sz w:val="21"/>
                <w:szCs w:val="21"/>
              </w:rPr>
              <w:t>1</w:t>
            </w:r>
          </w:p>
        </w:tc>
        <w:tc>
          <w:tcPr>
            <w:tcW w:w="863" w:type="dxa"/>
            <w:tcBorders>
              <w:top w:val="single" w:color="000000" w:sz="4" w:space="0"/>
              <w:left w:val="single" w:color="000000" w:sz="4" w:space="0"/>
              <w:bottom w:val="single" w:color="000000" w:sz="4" w:space="0"/>
              <w:right w:val="single" w:color="000000" w:sz="4" w:space="0"/>
            </w:tcBorders>
            <w:vAlign w:val="center"/>
          </w:tcPr>
          <w:p w14:paraId="73F623AB">
            <w:pPr>
              <w:spacing w:after="0" w:line="259" w:lineRule="auto"/>
              <w:ind w:left="0" w:leftChars="0" w:right="83" w:rightChars="0" w:firstLine="0" w:firstLineChars="0"/>
              <w:jc w:val="center"/>
              <w:rPr>
                <w:rFonts w:ascii="仿宋" w:hAnsi="仿宋" w:eastAsia="仿宋" w:cs="仿宋"/>
                <w:color w:val="auto"/>
                <w:kern w:val="2"/>
                <w:sz w:val="21"/>
                <w:szCs w:val="21"/>
                <w:lang w:val="en-US" w:eastAsia="zh-CN" w:bidi="ar-SA"/>
              </w:rPr>
            </w:pPr>
            <w:r>
              <w:rPr>
                <w:rFonts w:hint="eastAsia"/>
                <w:color w:val="auto"/>
                <w:sz w:val="21"/>
                <w:szCs w:val="21"/>
              </w:rPr>
              <w:t>1</w:t>
            </w:r>
            <w:r>
              <w:rPr>
                <w:color w:val="auto"/>
                <w:sz w:val="21"/>
                <w:szCs w:val="21"/>
              </w:rPr>
              <w:t>8</w:t>
            </w:r>
          </w:p>
        </w:tc>
        <w:tc>
          <w:tcPr>
            <w:tcW w:w="826" w:type="dxa"/>
            <w:tcBorders>
              <w:top w:val="single" w:color="000000" w:sz="4" w:space="0"/>
              <w:left w:val="single" w:color="000000" w:sz="4" w:space="0"/>
              <w:bottom w:val="single" w:color="000000" w:sz="4" w:space="0"/>
              <w:right w:val="single" w:color="000000" w:sz="4" w:space="0"/>
            </w:tcBorders>
            <w:vAlign w:val="center"/>
          </w:tcPr>
          <w:p w14:paraId="20881DAC">
            <w:pPr>
              <w:spacing w:after="0" w:line="259" w:lineRule="auto"/>
              <w:ind w:left="0" w:leftChars="0" w:right="85" w:rightChars="0" w:firstLine="0" w:firstLineChars="0"/>
              <w:jc w:val="center"/>
              <w:rPr>
                <w:rFonts w:ascii="仿宋" w:hAnsi="仿宋" w:eastAsia="仿宋" w:cs="仿宋"/>
                <w:color w:val="000000"/>
                <w:kern w:val="2"/>
                <w:sz w:val="21"/>
                <w:szCs w:val="21"/>
                <w:lang w:val="en-US" w:eastAsia="zh-CN" w:bidi="ar-SA"/>
              </w:rPr>
            </w:pPr>
            <w:r>
              <w:rPr>
                <w:rFonts w:hint="eastAsia"/>
                <w:sz w:val="21"/>
                <w:szCs w:val="21"/>
              </w:rPr>
              <w:t>6</w:t>
            </w:r>
          </w:p>
        </w:tc>
        <w:tc>
          <w:tcPr>
            <w:tcW w:w="846" w:type="dxa"/>
            <w:tcBorders>
              <w:top w:val="single" w:color="000000" w:sz="4" w:space="0"/>
              <w:left w:val="single" w:color="000000" w:sz="4" w:space="0"/>
              <w:bottom w:val="single" w:color="000000" w:sz="4" w:space="0"/>
              <w:right w:val="single" w:color="000000" w:sz="4" w:space="0"/>
            </w:tcBorders>
            <w:vAlign w:val="center"/>
          </w:tcPr>
          <w:p w14:paraId="1CBAB23E">
            <w:pPr>
              <w:spacing w:after="0" w:line="259" w:lineRule="auto"/>
              <w:ind w:left="0" w:leftChars="0" w:right="82" w:rightChars="0" w:firstLine="0" w:firstLineChars="0"/>
              <w:jc w:val="center"/>
              <w:rPr>
                <w:rFonts w:ascii="仿宋" w:hAnsi="仿宋" w:eastAsia="仿宋" w:cs="仿宋"/>
                <w:color w:val="000000"/>
                <w:kern w:val="2"/>
                <w:sz w:val="21"/>
                <w:szCs w:val="21"/>
                <w:lang w:val="en-US" w:eastAsia="zh-CN" w:bidi="ar-SA"/>
              </w:rPr>
            </w:pPr>
            <w:r>
              <w:rPr>
                <w:rFonts w:hint="eastAsia"/>
                <w:sz w:val="21"/>
                <w:szCs w:val="21"/>
              </w:rPr>
              <w:t>1</w:t>
            </w:r>
            <w:r>
              <w:rPr>
                <w:sz w:val="21"/>
                <w:szCs w:val="21"/>
              </w:rPr>
              <w:t>2</w:t>
            </w:r>
          </w:p>
        </w:tc>
        <w:tc>
          <w:tcPr>
            <w:tcW w:w="978" w:type="dxa"/>
            <w:tcBorders>
              <w:top w:val="single" w:color="000000" w:sz="4" w:space="0"/>
              <w:left w:val="single" w:color="000000" w:sz="4" w:space="0"/>
              <w:bottom w:val="single" w:color="000000" w:sz="4" w:space="0"/>
              <w:right w:val="single" w:color="000000" w:sz="4" w:space="0"/>
            </w:tcBorders>
            <w:vAlign w:val="center"/>
          </w:tcPr>
          <w:p w14:paraId="7FB2E189">
            <w:pPr>
              <w:spacing w:after="0" w:line="259" w:lineRule="auto"/>
              <w:ind w:left="0" w:leftChars="0" w:firstLine="0" w:firstLineChars="0"/>
              <w:jc w:val="center"/>
              <w:rPr>
                <w:rFonts w:ascii="仿宋" w:hAnsi="仿宋" w:eastAsia="仿宋" w:cs="仿宋"/>
                <w:color w:val="000000"/>
                <w:kern w:val="2"/>
                <w:sz w:val="21"/>
                <w:szCs w:val="21"/>
                <w:lang w:val="en-US" w:eastAsia="zh-CN" w:bidi="ar-SA"/>
              </w:rPr>
            </w:pPr>
            <w:r>
              <w:rPr>
                <w:sz w:val="21"/>
                <w:szCs w:val="21"/>
              </w:rPr>
              <w:t>考查</w:t>
            </w:r>
          </w:p>
        </w:tc>
        <w:tc>
          <w:tcPr>
            <w:tcW w:w="2283" w:type="dxa"/>
            <w:tcBorders>
              <w:top w:val="single" w:color="000000" w:sz="4" w:space="0"/>
              <w:left w:val="single" w:color="000000" w:sz="4" w:space="0"/>
              <w:bottom w:val="single" w:color="000000" w:sz="4" w:space="0"/>
              <w:right w:val="single" w:color="000000" w:sz="4" w:space="0"/>
            </w:tcBorders>
            <w:vAlign w:val="center"/>
          </w:tcPr>
          <w:p w14:paraId="4A3898F2">
            <w:pPr>
              <w:spacing w:after="0" w:line="259" w:lineRule="auto"/>
              <w:ind w:left="0" w:leftChars="0" w:right="84" w:rightChars="0" w:firstLine="0" w:firstLineChars="0"/>
              <w:jc w:val="both"/>
              <w:rPr>
                <w:rFonts w:hint="eastAsia"/>
                <w:sz w:val="21"/>
                <w:szCs w:val="21"/>
                <w:lang w:val="en-US" w:eastAsia="zh-CN"/>
              </w:rPr>
            </w:pPr>
            <w:r>
              <w:rPr>
                <w:rFonts w:hint="eastAsia"/>
              </w:rPr>
              <w:t>学术科研周+暑期</w:t>
            </w:r>
          </w:p>
        </w:tc>
      </w:tr>
      <w:tr w14:paraId="2CA6BC40">
        <w:tblPrEx>
          <w:tblCellMar>
            <w:top w:w="55" w:type="dxa"/>
            <w:left w:w="155" w:type="dxa"/>
            <w:bottom w:w="0" w:type="dxa"/>
            <w:right w:w="115" w:type="dxa"/>
          </w:tblCellMar>
        </w:tblPrEx>
        <w:trPr>
          <w:trHeight w:val="502" w:hRule="atLeast"/>
          <w:jc w:val="center"/>
        </w:trPr>
        <w:tc>
          <w:tcPr>
            <w:tcW w:w="532" w:type="dxa"/>
            <w:tcBorders>
              <w:top w:val="single" w:color="000000" w:sz="4" w:space="0"/>
              <w:left w:val="single" w:color="000000" w:sz="4" w:space="0"/>
              <w:bottom w:val="single" w:color="000000" w:sz="4" w:space="0"/>
              <w:right w:val="single" w:color="000000" w:sz="4" w:space="0"/>
            </w:tcBorders>
            <w:vAlign w:val="top"/>
          </w:tcPr>
          <w:p w14:paraId="76070229">
            <w:pPr>
              <w:spacing w:after="0" w:line="259" w:lineRule="auto"/>
              <w:ind w:left="636" w:leftChars="0" w:hanging="626" w:firstLineChars="0"/>
              <w:jc w:val="center"/>
              <w:rPr>
                <w:rFonts w:hint="default" w:ascii="仿宋" w:hAnsi="仿宋" w:eastAsia="仿宋" w:cs="仿宋"/>
                <w:color w:val="000000"/>
                <w:kern w:val="2"/>
                <w:sz w:val="24"/>
                <w:szCs w:val="22"/>
                <w:lang w:val="en-US" w:eastAsia="zh-CN" w:bidi="ar-SA"/>
              </w:rPr>
            </w:pPr>
            <w:r>
              <w:rPr>
                <w:rFonts w:hint="eastAsia" w:cs="仿宋"/>
                <w:color w:val="000000"/>
                <w:kern w:val="2"/>
                <w:sz w:val="24"/>
                <w:szCs w:val="22"/>
                <w:lang w:val="en-US" w:eastAsia="zh-CN" w:bidi="ar-SA"/>
              </w:rPr>
              <w:t>7</w:t>
            </w:r>
          </w:p>
        </w:tc>
        <w:tc>
          <w:tcPr>
            <w:tcW w:w="1824" w:type="dxa"/>
            <w:tcBorders>
              <w:top w:val="single" w:color="000000" w:sz="4" w:space="0"/>
              <w:left w:val="single" w:color="000000" w:sz="4" w:space="0"/>
              <w:bottom w:val="single" w:color="000000" w:sz="4" w:space="0"/>
              <w:right w:val="single" w:color="000000" w:sz="4" w:space="0"/>
            </w:tcBorders>
            <w:vAlign w:val="top"/>
          </w:tcPr>
          <w:p w14:paraId="4EED0D49">
            <w:pPr>
              <w:spacing w:after="0" w:line="259" w:lineRule="auto"/>
              <w:ind w:left="0" w:leftChars="0" w:right="84" w:rightChars="0" w:firstLine="0" w:firstLineChars="0"/>
              <w:jc w:val="center"/>
              <w:rPr>
                <w:rFonts w:hint="eastAsia"/>
                <w:sz w:val="21"/>
                <w:szCs w:val="21"/>
                <w:lang w:val="en-US" w:eastAsia="zh-CN"/>
              </w:rPr>
            </w:pPr>
            <w:r>
              <w:rPr>
                <w:rFonts w:hint="eastAsia"/>
                <w:sz w:val="21"/>
                <w:szCs w:val="21"/>
                <w:lang w:val="en-US" w:eastAsia="zh-CN"/>
              </w:rPr>
              <w:t>数字技术与创新实践</w:t>
            </w:r>
          </w:p>
        </w:tc>
        <w:tc>
          <w:tcPr>
            <w:tcW w:w="497" w:type="dxa"/>
            <w:tcBorders>
              <w:top w:val="single" w:color="000000" w:sz="4" w:space="0"/>
              <w:left w:val="single" w:color="000000" w:sz="4" w:space="0"/>
              <w:bottom w:val="single" w:color="000000" w:sz="4" w:space="0"/>
              <w:right w:val="single" w:color="000000" w:sz="4" w:space="0"/>
            </w:tcBorders>
            <w:vAlign w:val="center"/>
          </w:tcPr>
          <w:p w14:paraId="7338E959">
            <w:pPr>
              <w:spacing w:after="0" w:line="259" w:lineRule="auto"/>
              <w:ind w:left="0" w:leftChars="0" w:right="81" w:rightChars="0" w:firstLine="0" w:firstLineChars="0"/>
              <w:jc w:val="center"/>
              <w:rPr>
                <w:rFonts w:ascii="仿宋" w:hAnsi="仿宋" w:eastAsia="仿宋" w:cs="仿宋"/>
                <w:color w:val="auto"/>
                <w:kern w:val="2"/>
                <w:sz w:val="21"/>
                <w:szCs w:val="21"/>
                <w:lang w:val="en-US" w:eastAsia="zh-CN" w:bidi="ar-SA"/>
              </w:rPr>
            </w:pPr>
            <w:r>
              <w:rPr>
                <w:rFonts w:hint="eastAsia"/>
                <w:color w:val="auto"/>
                <w:sz w:val="21"/>
                <w:szCs w:val="21"/>
              </w:rPr>
              <w:t>1</w:t>
            </w:r>
          </w:p>
        </w:tc>
        <w:tc>
          <w:tcPr>
            <w:tcW w:w="863" w:type="dxa"/>
            <w:tcBorders>
              <w:top w:val="single" w:color="000000" w:sz="4" w:space="0"/>
              <w:left w:val="single" w:color="000000" w:sz="4" w:space="0"/>
              <w:bottom w:val="single" w:color="000000" w:sz="4" w:space="0"/>
              <w:right w:val="single" w:color="000000" w:sz="4" w:space="0"/>
            </w:tcBorders>
            <w:vAlign w:val="center"/>
          </w:tcPr>
          <w:p w14:paraId="0FEDA383">
            <w:pPr>
              <w:spacing w:after="0" w:line="259" w:lineRule="auto"/>
              <w:ind w:left="0" w:leftChars="0" w:right="83" w:rightChars="0" w:firstLine="0" w:firstLineChars="0"/>
              <w:jc w:val="center"/>
              <w:rPr>
                <w:rFonts w:ascii="仿宋" w:hAnsi="仿宋" w:eastAsia="仿宋" w:cs="仿宋"/>
                <w:color w:val="auto"/>
                <w:kern w:val="2"/>
                <w:sz w:val="21"/>
                <w:szCs w:val="21"/>
                <w:lang w:val="en-US" w:eastAsia="zh-CN" w:bidi="ar-SA"/>
              </w:rPr>
            </w:pPr>
            <w:r>
              <w:rPr>
                <w:rFonts w:hint="eastAsia"/>
                <w:color w:val="auto"/>
                <w:sz w:val="21"/>
                <w:szCs w:val="21"/>
              </w:rPr>
              <w:t>1</w:t>
            </w:r>
            <w:r>
              <w:rPr>
                <w:color w:val="auto"/>
                <w:sz w:val="21"/>
                <w:szCs w:val="21"/>
              </w:rPr>
              <w:t>8</w:t>
            </w:r>
          </w:p>
        </w:tc>
        <w:tc>
          <w:tcPr>
            <w:tcW w:w="826" w:type="dxa"/>
            <w:tcBorders>
              <w:top w:val="single" w:color="000000" w:sz="4" w:space="0"/>
              <w:left w:val="single" w:color="000000" w:sz="4" w:space="0"/>
              <w:bottom w:val="single" w:color="000000" w:sz="4" w:space="0"/>
              <w:right w:val="single" w:color="000000" w:sz="4" w:space="0"/>
            </w:tcBorders>
            <w:vAlign w:val="center"/>
          </w:tcPr>
          <w:p w14:paraId="5D9093D2">
            <w:pPr>
              <w:spacing w:after="0" w:line="259" w:lineRule="auto"/>
              <w:ind w:left="0" w:leftChars="0" w:right="85" w:rightChars="0" w:firstLine="0" w:firstLineChars="0"/>
              <w:jc w:val="center"/>
              <w:rPr>
                <w:rFonts w:hint="eastAsia" w:ascii="仿宋" w:hAnsi="仿宋" w:eastAsia="仿宋" w:cs="仿宋"/>
                <w:color w:val="000000"/>
                <w:kern w:val="2"/>
                <w:sz w:val="21"/>
                <w:szCs w:val="21"/>
                <w:lang w:val="en-US" w:eastAsia="zh-CN" w:bidi="ar-SA"/>
              </w:rPr>
            </w:pPr>
            <w:r>
              <w:rPr>
                <w:rFonts w:hint="eastAsia"/>
                <w:sz w:val="21"/>
                <w:szCs w:val="21"/>
                <w:lang w:val="en-US" w:eastAsia="zh-CN"/>
              </w:rPr>
              <w:t>6</w:t>
            </w:r>
          </w:p>
        </w:tc>
        <w:tc>
          <w:tcPr>
            <w:tcW w:w="846" w:type="dxa"/>
            <w:tcBorders>
              <w:top w:val="single" w:color="000000" w:sz="4" w:space="0"/>
              <w:left w:val="single" w:color="000000" w:sz="4" w:space="0"/>
              <w:bottom w:val="single" w:color="000000" w:sz="4" w:space="0"/>
              <w:right w:val="single" w:color="000000" w:sz="4" w:space="0"/>
            </w:tcBorders>
            <w:vAlign w:val="center"/>
          </w:tcPr>
          <w:p w14:paraId="0A4E9F7B">
            <w:pPr>
              <w:spacing w:after="0" w:line="259" w:lineRule="auto"/>
              <w:ind w:left="0" w:leftChars="0" w:right="82" w:rightChars="0" w:firstLine="0" w:firstLineChars="0"/>
              <w:jc w:val="center"/>
              <w:rPr>
                <w:rFonts w:hint="default" w:ascii="仿宋" w:hAnsi="仿宋" w:eastAsia="仿宋" w:cs="仿宋"/>
                <w:color w:val="000000"/>
                <w:kern w:val="2"/>
                <w:sz w:val="21"/>
                <w:szCs w:val="21"/>
                <w:lang w:val="en-US" w:eastAsia="zh-CN" w:bidi="ar-SA"/>
              </w:rPr>
            </w:pPr>
            <w:r>
              <w:rPr>
                <w:rFonts w:hint="eastAsia" w:cs="仿宋"/>
                <w:color w:val="000000"/>
                <w:kern w:val="2"/>
                <w:sz w:val="21"/>
                <w:szCs w:val="21"/>
                <w:lang w:val="en-US" w:eastAsia="zh-CN" w:bidi="ar-SA"/>
              </w:rPr>
              <w:t>12</w:t>
            </w:r>
          </w:p>
        </w:tc>
        <w:tc>
          <w:tcPr>
            <w:tcW w:w="978" w:type="dxa"/>
            <w:tcBorders>
              <w:top w:val="single" w:color="000000" w:sz="4" w:space="0"/>
              <w:left w:val="single" w:color="000000" w:sz="4" w:space="0"/>
              <w:bottom w:val="single" w:color="000000" w:sz="4" w:space="0"/>
              <w:right w:val="single" w:color="000000" w:sz="4" w:space="0"/>
            </w:tcBorders>
            <w:vAlign w:val="center"/>
          </w:tcPr>
          <w:p w14:paraId="6791ED52">
            <w:pPr>
              <w:spacing w:after="0" w:line="259" w:lineRule="auto"/>
              <w:ind w:left="0" w:leftChars="0" w:firstLine="0" w:firstLineChars="0"/>
              <w:jc w:val="center"/>
              <w:rPr>
                <w:rFonts w:ascii="仿宋" w:hAnsi="仿宋" w:eastAsia="仿宋" w:cs="仿宋"/>
                <w:color w:val="000000"/>
                <w:kern w:val="2"/>
                <w:sz w:val="21"/>
                <w:szCs w:val="21"/>
                <w:lang w:val="en-US" w:eastAsia="zh-CN" w:bidi="ar-SA"/>
              </w:rPr>
            </w:pPr>
            <w:r>
              <w:rPr>
                <w:sz w:val="21"/>
                <w:szCs w:val="21"/>
              </w:rPr>
              <w:t>考查</w:t>
            </w:r>
          </w:p>
        </w:tc>
        <w:tc>
          <w:tcPr>
            <w:tcW w:w="2283" w:type="dxa"/>
            <w:tcBorders>
              <w:top w:val="single" w:color="000000" w:sz="4" w:space="0"/>
              <w:left w:val="single" w:color="000000" w:sz="4" w:space="0"/>
              <w:bottom w:val="single" w:color="000000" w:sz="4" w:space="0"/>
              <w:right w:val="single" w:color="000000" w:sz="4" w:space="0"/>
            </w:tcBorders>
            <w:vAlign w:val="center"/>
          </w:tcPr>
          <w:p w14:paraId="24F772EC">
            <w:pPr>
              <w:spacing w:after="0" w:line="259" w:lineRule="auto"/>
              <w:ind w:left="0" w:leftChars="0" w:right="84" w:rightChars="0" w:firstLine="0" w:firstLineChars="0"/>
              <w:jc w:val="both"/>
              <w:rPr>
                <w:rFonts w:hint="default"/>
                <w:sz w:val="21"/>
                <w:szCs w:val="21"/>
                <w:lang w:val="en-US" w:eastAsia="zh-CN"/>
              </w:rPr>
            </w:pPr>
            <w:r>
              <w:rPr>
                <w:rFonts w:hint="eastAsia"/>
              </w:rPr>
              <w:t>学术科研周+暑期</w:t>
            </w:r>
          </w:p>
        </w:tc>
      </w:tr>
      <w:tr w14:paraId="73542E0A">
        <w:tblPrEx>
          <w:tblCellMar>
            <w:top w:w="55" w:type="dxa"/>
            <w:left w:w="155" w:type="dxa"/>
            <w:bottom w:w="0" w:type="dxa"/>
            <w:right w:w="115" w:type="dxa"/>
          </w:tblCellMar>
        </w:tblPrEx>
        <w:trPr>
          <w:trHeight w:val="502" w:hRule="atLeast"/>
          <w:jc w:val="center"/>
        </w:trPr>
        <w:tc>
          <w:tcPr>
            <w:tcW w:w="2356" w:type="dxa"/>
            <w:gridSpan w:val="2"/>
            <w:tcBorders>
              <w:top w:val="single" w:color="000000" w:sz="4" w:space="0"/>
              <w:left w:val="single" w:color="000000" w:sz="4" w:space="0"/>
              <w:bottom w:val="single" w:color="000000" w:sz="4" w:space="0"/>
              <w:right w:val="single" w:color="000000" w:sz="4" w:space="0"/>
            </w:tcBorders>
            <w:vAlign w:val="center"/>
          </w:tcPr>
          <w:p w14:paraId="6F069DA8">
            <w:pPr>
              <w:spacing w:after="0" w:line="259" w:lineRule="auto"/>
              <w:ind w:left="0" w:right="60" w:firstLine="0"/>
              <w:jc w:val="center"/>
            </w:pPr>
            <w:r>
              <w:rPr>
                <w:rFonts w:ascii="黑体" w:hAnsi="黑体" w:eastAsia="黑体" w:cs="黑体"/>
                <w:sz w:val="18"/>
              </w:rPr>
              <w:t>合计</w:t>
            </w:r>
          </w:p>
        </w:tc>
        <w:tc>
          <w:tcPr>
            <w:tcW w:w="497" w:type="dxa"/>
            <w:tcBorders>
              <w:top w:val="single" w:color="000000" w:sz="4" w:space="0"/>
              <w:left w:val="single" w:color="000000" w:sz="4" w:space="0"/>
              <w:bottom w:val="single" w:color="000000" w:sz="4" w:space="0"/>
              <w:right w:val="single" w:color="000000" w:sz="4" w:space="0"/>
            </w:tcBorders>
            <w:vAlign w:val="center"/>
          </w:tcPr>
          <w:p w14:paraId="2807D766">
            <w:pPr>
              <w:spacing w:after="0" w:line="259" w:lineRule="auto"/>
              <w:ind w:left="0" w:right="81" w:firstLine="0"/>
              <w:jc w:val="center"/>
              <w:rPr>
                <w:rFonts w:hint="eastAsia" w:eastAsia="仿宋"/>
                <w:color w:val="auto"/>
                <w:lang w:val="en-US" w:eastAsia="zh-CN"/>
              </w:rPr>
            </w:pPr>
            <w:r>
              <w:rPr>
                <w:rFonts w:hint="eastAsia"/>
                <w:color w:val="auto"/>
                <w:lang w:val="en-US" w:eastAsia="zh-CN"/>
              </w:rPr>
              <w:t>8</w:t>
            </w:r>
          </w:p>
        </w:tc>
        <w:tc>
          <w:tcPr>
            <w:tcW w:w="863" w:type="dxa"/>
            <w:tcBorders>
              <w:top w:val="single" w:color="000000" w:sz="4" w:space="0"/>
              <w:left w:val="single" w:color="000000" w:sz="4" w:space="0"/>
              <w:bottom w:val="single" w:color="000000" w:sz="4" w:space="0"/>
              <w:right w:val="single" w:color="000000" w:sz="4" w:space="0"/>
            </w:tcBorders>
            <w:vAlign w:val="center"/>
          </w:tcPr>
          <w:p w14:paraId="1F0A0BE5">
            <w:pPr>
              <w:spacing w:after="0" w:line="259" w:lineRule="auto"/>
              <w:ind w:left="0" w:right="86" w:firstLine="0"/>
              <w:jc w:val="center"/>
              <w:rPr>
                <w:rFonts w:hint="default" w:eastAsia="仿宋"/>
                <w:color w:val="auto"/>
                <w:lang w:val="en-US" w:eastAsia="zh-CN"/>
              </w:rPr>
            </w:pPr>
            <w:r>
              <w:rPr>
                <w:rFonts w:hint="eastAsia"/>
                <w:color w:val="auto"/>
                <w:lang w:val="en-US" w:eastAsia="zh-CN"/>
              </w:rPr>
              <w:t>144</w:t>
            </w:r>
          </w:p>
        </w:tc>
        <w:tc>
          <w:tcPr>
            <w:tcW w:w="826" w:type="dxa"/>
            <w:tcBorders>
              <w:top w:val="single" w:color="000000" w:sz="4" w:space="0"/>
              <w:left w:val="single" w:color="000000" w:sz="4" w:space="0"/>
              <w:bottom w:val="single" w:color="000000" w:sz="4" w:space="0"/>
              <w:right w:val="single" w:color="000000" w:sz="4" w:space="0"/>
            </w:tcBorders>
            <w:vAlign w:val="center"/>
          </w:tcPr>
          <w:p w14:paraId="4375CCD0">
            <w:pPr>
              <w:spacing w:after="0" w:line="259" w:lineRule="auto"/>
              <w:ind w:left="0" w:right="87" w:firstLine="0"/>
              <w:jc w:val="center"/>
              <w:rPr>
                <w:rFonts w:hint="default" w:eastAsia="仿宋"/>
                <w:lang w:val="en-US" w:eastAsia="zh-CN"/>
              </w:rPr>
            </w:pPr>
            <w:r>
              <w:rPr>
                <w:rFonts w:hint="eastAsia"/>
                <w:lang w:val="en-US" w:eastAsia="zh-CN"/>
              </w:rPr>
              <w:t>70</w:t>
            </w:r>
          </w:p>
        </w:tc>
        <w:tc>
          <w:tcPr>
            <w:tcW w:w="846" w:type="dxa"/>
            <w:tcBorders>
              <w:top w:val="single" w:color="000000" w:sz="4" w:space="0"/>
              <w:left w:val="single" w:color="000000" w:sz="4" w:space="0"/>
              <w:bottom w:val="single" w:color="000000" w:sz="4" w:space="0"/>
              <w:right w:val="single" w:color="000000" w:sz="4" w:space="0"/>
            </w:tcBorders>
            <w:vAlign w:val="center"/>
          </w:tcPr>
          <w:p w14:paraId="13CEA67D">
            <w:pPr>
              <w:spacing w:after="0" w:line="259" w:lineRule="auto"/>
              <w:ind w:left="0" w:right="84" w:firstLine="0"/>
              <w:jc w:val="center"/>
              <w:rPr>
                <w:rFonts w:hint="default" w:eastAsia="仿宋"/>
                <w:lang w:val="en-US" w:eastAsia="zh-CN"/>
              </w:rPr>
            </w:pPr>
            <w:r>
              <w:rPr>
                <w:rFonts w:hint="eastAsia"/>
                <w:lang w:val="en-US" w:eastAsia="zh-CN"/>
              </w:rPr>
              <w:t>74</w:t>
            </w:r>
            <w:bookmarkStart w:id="10" w:name="_GoBack"/>
            <w:bookmarkEnd w:id="10"/>
          </w:p>
        </w:tc>
        <w:tc>
          <w:tcPr>
            <w:tcW w:w="978" w:type="dxa"/>
            <w:tcBorders>
              <w:top w:val="single" w:color="000000" w:sz="4" w:space="0"/>
              <w:left w:val="single" w:color="000000" w:sz="4" w:space="0"/>
              <w:bottom w:val="single" w:color="000000" w:sz="4" w:space="0"/>
              <w:right w:val="single" w:color="000000" w:sz="4" w:space="0"/>
            </w:tcBorders>
            <w:vAlign w:val="center"/>
          </w:tcPr>
          <w:p w14:paraId="4BF2A9CB">
            <w:pPr>
              <w:spacing w:after="0" w:line="259" w:lineRule="auto"/>
              <w:ind w:left="0" w:right="82" w:firstLine="0"/>
              <w:jc w:val="center"/>
            </w:pPr>
          </w:p>
        </w:tc>
        <w:tc>
          <w:tcPr>
            <w:tcW w:w="2283" w:type="dxa"/>
            <w:tcBorders>
              <w:top w:val="single" w:color="000000" w:sz="4" w:space="0"/>
              <w:left w:val="single" w:color="000000" w:sz="4" w:space="0"/>
              <w:bottom w:val="single" w:color="000000" w:sz="4" w:space="0"/>
              <w:right w:val="single" w:color="000000" w:sz="4" w:space="0"/>
            </w:tcBorders>
            <w:vAlign w:val="center"/>
          </w:tcPr>
          <w:p w14:paraId="1CE32B40">
            <w:pPr>
              <w:spacing w:after="0" w:line="259" w:lineRule="auto"/>
              <w:ind w:left="0" w:right="84" w:firstLine="0"/>
              <w:jc w:val="center"/>
            </w:pPr>
          </w:p>
        </w:tc>
      </w:tr>
    </w:tbl>
    <w:p w14:paraId="79BA6424">
      <w:pPr>
        <w:pStyle w:val="2"/>
        <w:ind w:left="564"/>
        <w:rPr>
          <w:rFonts w:ascii="仿宋" w:hAnsi="仿宋" w:eastAsia="仿宋"/>
          <w:sz w:val="24"/>
        </w:rPr>
      </w:pPr>
      <w:r>
        <w:rPr>
          <w:rFonts w:hint="eastAsia"/>
        </w:rPr>
        <w:t>五</w:t>
      </w:r>
      <w:r>
        <w:t>、</w:t>
      </w:r>
      <w:r>
        <w:rPr>
          <w:rFonts w:hint="eastAsia"/>
        </w:rPr>
        <w:t xml:space="preserve"> </w:t>
      </w:r>
      <w:r>
        <w:t>课程简介</w:t>
      </w:r>
      <w:r>
        <w:rPr>
          <w:rFonts w:hint="eastAsia" w:ascii="仿宋" w:hAnsi="仿宋" w:eastAsia="仿宋"/>
          <w:sz w:val="24"/>
        </w:rPr>
        <w:t>(与第四部分课程对应)</w:t>
      </w:r>
    </w:p>
    <w:p w14:paraId="018FF9DD">
      <w:pPr>
        <w:spacing w:after="0" w:line="259" w:lineRule="auto"/>
        <w:ind w:left="0" w:leftChars="0" w:right="84" w:rightChars="0" w:firstLine="0" w:firstLineChars="0"/>
        <w:jc w:val="left"/>
      </w:pPr>
      <w:r>
        <w:t>1.《</w:t>
      </w:r>
      <w:bookmarkStart w:id="5" w:name="OLE_LINK12"/>
      <w:r>
        <w:rPr>
          <w:rFonts w:hint="eastAsia"/>
        </w:rPr>
        <w:t>A</w:t>
      </w:r>
      <w:r>
        <w:t>I+</w:t>
      </w:r>
      <w:r>
        <w:rPr>
          <w:rFonts w:hint="eastAsia"/>
        </w:rPr>
        <w:t>碳</w:t>
      </w:r>
      <w:r>
        <w:rPr>
          <w:rFonts w:hint="eastAsia"/>
          <w:lang w:val="en-US" w:eastAsia="zh-CN"/>
        </w:rPr>
        <w:t>计量</w:t>
      </w:r>
      <w:r>
        <w:rPr>
          <w:rFonts w:hint="eastAsia"/>
        </w:rPr>
        <w:t>管理</w:t>
      </w:r>
      <w:bookmarkEnd w:id="5"/>
      <w:r>
        <w:t>》课程</w:t>
      </w:r>
    </w:p>
    <w:p w14:paraId="29E680D4">
      <w:pPr>
        <w:spacing w:line="367" w:lineRule="auto"/>
        <w:ind w:left="493" w:hanging="11"/>
        <w:jc w:val="both"/>
        <w:rPr>
          <w:rFonts w:hint="eastAsia"/>
          <w:color w:val="000000" w:themeColor="text1"/>
          <w14:textFill>
            <w14:solidFill>
              <w14:schemeClr w14:val="tx1"/>
            </w14:solidFill>
          </w14:textFill>
        </w:rPr>
      </w:pPr>
      <w:r>
        <w:t>负责人：</w:t>
      </w:r>
      <w:r>
        <w:rPr>
          <w:rFonts w:hint="eastAsia"/>
        </w:rPr>
        <w:t>刘红</w:t>
      </w:r>
      <w:r>
        <w:rPr>
          <w:rFonts w:hint="eastAsia"/>
          <w:lang w:val="en-US" w:eastAsia="zh-CN"/>
        </w:rPr>
        <w:t>（企业)</w:t>
      </w:r>
    </w:p>
    <w:p w14:paraId="40FF6F40">
      <w:pPr>
        <w:spacing w:line="367" w:lineRule="auto"/>
        <w:ind w:left="493" w:hanging="11"/>
        <w:jc w:val="both"/>
        <w:rPr>
          <w:rFonts w:hint="default"/>
          <w:color w:val="000000" w:themeColor="text1"/>
          <w:lang w:val="en-US"/>
          <w14:textFill>
            <w14:solidFill>
              <w14:schemeClr w14:val="tx1"/>
            </w14:solidFill>
          </w14:textFill>
        </w:rPr>
      </w:pPr>
      <w:r>
        <w:rPr>
          <w:rFonts w:hint="eastAsia"/>
        </w:rPr>
        <w:t>教学团队：马忠，</w:t>
      </w:r>
      <w:r>
        <w:rPr>
          <w:rFonts w:hint="eastAsia"/>
          <w:lang w:val="en-US" w:eastAsia="zh-CN"/>
        </w:rPr>
        <w:t>朱远征，张淑平</w:t>
      </w:r>
    </w:p>
    <w:p w14:paraId="10BBE9CD">
      <w:pPr>
        <w:spacing w:line="367" w:lineRule="auto"/>
        <w:ind w:left="0" w:leftChars="0" w:firstLine="480" w:firstLineChars="200"/>
        <w:jc w:val="both"/>
      </w:pPr>
      <w:r>
        <w:t>课程简介：</w:t>
      </w:r>
      <w:r>
        <w:rPr>
          <w:rFonts w:hint="eastAsia"/>
        </w:rPr>
        <w:t>《A</w:t>
      </w:r>
      <w:r>
        <w:t>I+</w:t>
      </w:r>
      <w:r>
        <w:rPr>
          <w:rFonts w:hint="eastAsia"/>
        </w:rPr>
        <w:t>碳</w:t>
      </w:r>
      <w:r>
        <w:rPr>
          <w:rFonts w:hint="eastAsia"/>
          <w:lang w:val="en-US" w:eastAsia="zh-CN"/>
        </w:rPr>
        <w:t>计量</w:t>
      </w:r>
      <w:r>
        <w:rPr>
          <w:rFonts w:hint="eastAsia"/>
        </w:rPr>
        <w:t>管理》聚焦生态环境领域关键技术，旨在培养学生掌握环境测评与碳计量核心知识与实操技能。课程内容涵盖环境测评基础理论，详细讲解大气、水、土壤等各类环境要素污染物的监测指标与采样、分析方法，在实践教学中让学生操作环境测评相关仪器以熟悉实际环境测评指标。另外，详细讲解碳计量的概念、重要性及在全球气候变化应对中的地位，深入剖析能源、工业、农业等不同领域碳计量方法，随后在实践教学中选取碳计量案例，让学生分组进行碳计量模拟计算。同时，讲解人工智能在环境测评与碳计量中的应用，在实践教学中运用数据分析方法对环境监测数据进行挖掘，发现数据中的规律与趋势，并讨论人工智能在环境风险评估与预警中的实际应用。</w:t>
      </w:r>
    </w:p>
    <w:p w14:paraId="07FC2159">
      <w:pPr>
        <w:ind w:right="3734"/>
      </w:pPr>
      <w:r>
        <w:rPr>
          <w:rFonts w:hint="eastAsia"/>
          <w:lang w:val="en-US" w:eastAsia="zh-CN"/>
        </w:rPr>
        <w:t>2</w:t>
      </w:r>
      <w:r>
        <w:t>.《</w:t>
      </w:r>
      <w:r>
        <w:rPr>
          <w:rFonts w:hint="eastAsia"/>
        </w:rPr>
        <w:t>绿色化学</w:t>
      </w:r>
      <w:r>
        <w:t>》课程</w:t>
      </w:r>
    </w:p>
    <w:p w14:paraId="00E80347">
      <w:pPr>
        <w:ind w:right="3734"/>
      </w:pPr>
      <w:r>
        <w:t>负责人：马杰</w:t>
      </w:r>
    </w:p>
    <w:p w14:paraId="14FD1B28">
      <w:pPr>
        <w:ind w:right="3734"/>
      </w:pPr>
      <w:r>
        <w:rPr>
          <w:rFonts w:hint="eastAsia"/>
        </w:rPr>
        <w:t>教学团队：马杰、</w:t>
      </w:r>
      <w:r>
        <w:rPr>
          <w:rFonts w:hint="eastAsia"/>
          <w:bCs/>
          <w:szCs w:val="21"/>
          <w:lang w:val="en-US" w:eastAsia="zh-CN"/>
        </w:rPr>
        <w:t>杨伟伟</w:t>
      </w:r>
    </w:p>
    <w:p w14:paraId="0FC84573">
      <w:pPr>
        <w:spacing w:line="367" w:lineRule="auto"/>
        <w:ind w:left="0" w:leftChars="0" w:firstLine="0" w:firstLineChars="0"/>
        <w:jc w:val="both"/>
      </w:pPr>
      <w:r>
        <w:t>课程简介：</w:t>
      </w:r>
      <w:r>
        <w:rPr>
          <w:rFonts w:hint="eastAsia"/>
        </w:rPr>
        <w:t>本课程基于绿色化学的基本原理、绿色化学制备工艺原则，讨论传统化学制备工艺及绿色化学工程工艺的发展趋势；通过工程实践教学，理论与当前工业实践融合。内容涉及利用绿色化学的基本概念和基本理论，氯碱工业、石油化工、聚合物等传统化学工艺的绿色化进展；功能材料制备，二氧化碳资源化工业等等。通过课程实践，化学工程和工艺的实际运作流程，培养研究生对当前化学工业的认识，坚定为化学工业的绿色化而奋斗的信念。</w:t>
      </w:r>
    </w:p>
    <w:p w14:paraId="1B4704D2">
      <w:pPr>
        <w:ind w:right="3734"/>
      </w:pPr>
      <w:r>
        <w:rPr>
          <w:rFonts w:hint="eastAsia"/>
          <w:lang w:val="en-US" w:eastAsia="zh-CN"/>
        </w:rPr>
        <w:t>3</w:t>
      </w:r>
      <w:r>
        <w:t>.《</w:t>
      </w:r>
      <w:r>
        <w:rPr>
          <w:rFonts w:hint="eastAsia"/>
        </w:rPr>
        <w:t>人工智能与化学</w:t>
      </w:r>
      <w:r>
        <w:t>》课程</w:t>
      </w:r>
    </w:p>
    <w:p w14:paraId="3B27F426">
      <w:pPr>
        <w:ind w:right="3734"/>
      </w:pPr>
      <w:r>
        <w:t>负责人：</w:t>
      </w:r>
      <w:r>
        <w:rPr>
          <w:rFonts w:hint="eastAsia"/>
        </w:rPr>
        <w:t>程平</w:t>
      </w:r>
    </w:p>
    <w:p w14:paraId="1B3707F0">
      <w:pPr>
        <w:ind w:left="0" w:leftChars="0" w:right="3734" w:firstLine="0" w:firstLineChars="0"/>
        <w:jc w:val="both"/>
        <w:rPr>
          <w:rFonts w:hint="default" w:eastAsia="仿宋"/>
          <w:bCs/>
          <w:szCs w:val="21"/>
          <w:lang w:val="en-US" w:eastAsia="zh-CN"/>
        </w:rPr>
      </w:pPr>
      <w:r>
        <w:rPr>
          <w:rFonts w:hint="eastAsia"/>
        </w:rPr>
        <w:t>教学团队：</w:t>
      </w:r>
      <w:r>
        <w:rPr>
          <w:bCs/>
          <w:szCs w:val="21"/>
        </w:rPr>
        <w:t>程平、</w:t>
      </w:r>
      <w:r>
        <w:rPr>
          <w:rFonts w:hint="eastAsia"/>
          <w:bCs/>
          <w:szCs w:val="21"/>
          <w:lang w:val="en-US" w:eastAsia="zh-CN"/>
        </w:rPr>
        <w:t>朱远征</w:t>
      </w:r>
    </w:p>
    <w:p w14:paraId="69A5B257">
      <w:pPr>
        <w:spacing w:line="360" w:lineRule="auto"/>
        <w:ind w:left="0" w:leftChars="0" w:firstLine="0" w:firstLineChars="0"/>
        <w:rPr>
          <w:bCs/>
          <w:szCs w:val="21"/>
        </w:rPr>
      </w:pPr>
      <w:r>
        <w:t>课程简介：</w:t>
      </w:r>
      <w:r>
        <w:rPr>
          <w:bCs/>
          <w:szCs w:val="21"/>
        </w:rPr>
        <w:t>《人工智能与化学》是一门旨在介绍AI在化学领域应用的课程，通过理论学习和实践操作，使学生掌握AI的基本概念和技术，了解其在化学研究中的重要性和应用背景。课程内容涵盖AI在化学中的基础理论、AI工具在学术写作和研究流程中的应用、AI在科研绘图中的技术，以及具体的AI应用案例与实践，旨在提高学生的科研效率和解决实际问题的能力。本课程强调理论与实践结合，通过具体案例分析，增强学生的理解和应用能力，适合化学及相关专业的研究生以及对AI在化学应用感兴趣的科研人员。</w:t>
      </w:r>
    </w:p>
    <w:p w14:paraId="4F5575CF">
      <w:pPr>
        <w:ind w:left="-15" w:firstLine="480"/>
      </w:pPr>
      <w:bookmarkStart w:id="6" w:name="OLE_LINK1"/>
      <w:r>
        <w:rPr>
          <w:rFonts w:hint="eastAsia"/>
          <w:lang w:val="en-US" w:eastAsia="zh-CN"/>
        </w:rPr>
        <w:t>4</w:t>
      </w:r>
      <w:r>
        <w:t>.《芯片制造与化学》课程</w:t>
      </w:r>
    </w:p>
    <w:p w14:paraId="1DD1C8EF">
      <w:pPr>
        <w:ind w:right="3734"/>
      </w:pPr>
      <w:r>
        <w:t>负责人：</w:t>
      </w:r>
      <w:r>
        <w:rPr>
          <w:rFonts w:hint="eastAsia"/>
        </w:rPr>
        <w:t>马忠</w:t>
      </w:r>
    </w:p>
    <w:p w14:paraId="40E7E274">
      <w:pPr>
        <w:ind w:right="3734"/>
        <w:rPr>
          <w:rFonts w:hint="eastAsia" w:eastAsia="仿宋"/>
          <w:lang w:val="en-US" w:eastAsia="zh-CN"/>
        </w:rPr>
      </w:pPr>
      <w:r>
        <w:rPr>
          <w:rFonts w:hint="eastAsia"/>
        </w:rPr>
        <w:t>教学团队：马忠，</w:t>
      </w:r>
      <w:r>
        <w:rPr>
          <w:rFonts w:hint="eastAsia"/>
          <w:lang w:val="en-US" w:eastAsia="zh-CN"/>
        </w:rPr>
        <w:t>陈春光</w:t>
      </w:r>
    </w:p>
    <w:p w14:paraId="6DCA5DC6">
      <w:pPr>
        <w:spacing w:line="367" w:lineRule="auto"/>
        <w:ind w:left="0" w:leftChars="0" w:firstLine="480" w:firstLineChars="200"/>
        <w:jc w:val="both"/>
      </w:pPr>
      <w:r>
        <w:t>课程简介：</w:t>
      </w:r>
      <w:r>
        <w:rPr>
          <w:rFonts w:hint="eastAsia"/>
        </w:rPr>
        <w:t>《芯片制造与化学》课程属于一门前沿交叉课程，涉及电子、材料、化学、机械等多个学科。该门课程旨在从化学的角度解读芯片制造关键技术，利用芯片制造工艺流程讲解化学知识。具体涉及芯片制造中的化学过程、技术和化学品，重点讲解芯片制造中的关键化学工艺、化学品及其应用。课程内容包括集成电路和芯片制造中所设计到的薄膜制备、光刻、刻蚀、抛光等工艺流程中的化学原理，以及上述过程中所使用的化学品的物理化学性质、应用描述、毒性及安全等知识点，包括单晶硅的生产、薄膜制备技术原理、光刻胶、显影剂、刻蚀技术原理、电沉积法的技术原理等内容。结合实践教学（如观察光刻胶在曝光和显影后的变化、模拟掺杂实验中掺杂浓度对半导体电学性能的影响），让学生深入理解。</w:t>
      </w:r>
    </w:p>
    <w:bookmarkEnd w:id="6"/>
    <w:p w14:paraId="6DE26FD1">
      <w:pPr>
        <w:ind w:left="-15" w:firstLine="480"/>
      </w:pPr>
      <w:r>
        <w:rPr>
          <w:rFonts w:hint="eastAsia"/>
          <w:lang w:val="en-US" w:eastAsia="zh-CN"/>
        </w:rPr>
        <w:t>5</w:t>
      </w:r>
      <w:r>
        <w:t>.《</w:t>
      </w:r>
      <w:r>
        <w:rPr>
          <w:rFonts w:hint="eastAsia"/>
        </w:rPr>
        <w:t>AI</w:t>
      </w:r>
      <w:r>
        <w:t>+</w:t>
      </w:r>
      <w:r>
        <w:rPr>
          <w:rFonts w:hint="eastAsia"/>
        </w:rPr>
        <w:t>化工安全</w:t>
      </w:r>
      <w:r>
        <w:t>》课程</w:t>
      </w:r>
    </w:p>
    <w:p w14:paraId="4056D8E3">
      <w:pPr>
        <w:ind w:right="3734"/>
      </w:pPr>
      <w:r>
        <w:t>负责人：</w:t>
      </w:r>
      <w:r>
        <w:rPr>
          <w:rFonts w:hint="eastAsia"/>
        </w:rPr>
        <w:t>廉孜超</w:t>
      </w:r>
    </w:p>
    <w:p w14:paraId="7B56D950">
      <w:pPr>
        <w:ind w:right="3734"/>
        <w:rPr>
          <w:rFonts w:hint="eastAsia"/>
        </w:rPr>
      </w:pPr>
      <w:r>
        <w:rPr>
          <w:rFonts w:hint="eastAsia"/>
        </w:rPr>
        <w:t>教学团队：廉孜超，陈曦</w:t>
      </w:r>
      <w:r>
        <w:rPr>
          <w:rFonts w:hint="eastAsia"/>
          <w:lang w:val="en-US" w:eastAsia="zh-CN"/>
        </w:rPr>
        <w:t>（企业)</w:t>
      </w:r>
    </w:p>
    <w:p w14:paraId="7023137E">
      <w:pPr>
        <w:spacing w:line="367" w:lineRule="auto"/>
        <w:ind w:left="0" w:leftChars="0" w:firstLine="480" w:firstLineChars="200"/>
        <w:jc w:val="both"/>
      </w:pPr>
      <w:r>
        <w:t>课程简介：</w:t>
      </w:r>
      <w:r>
        <w:rPr>
          <w:rFonts w:hint="eastAsia"/>
        </w:rPr>
        <w:t>《AI</w:t>
      </w:r>
      <w:r>
        <w:t>+</w:t>
      </w:r>
      <w:r>
        <w:rPr>
          <w:rFonts w:hint="eastAsia"/>
        </w:rPr>
        <w:t>化工安全》按照化工安全、环境保护的顺序，分化工安全生产技术、环境保护、危险化学品职业危害与卫生防护三个篇章，化工安全生产技术篇介绍了化学反应、化工单元操作、特种设备、防火防爆及电气安全、装置维修与运行、安全评价、安全管理等安全控制技术；环境保护篇介绍了化工“三废”和物理性污染的综合治理技术；危险化学品职业危害与卫生防护篇介绍了危险化学品应急救援和职业接触性毒物防护方法，列举了具体的应用实例，对化工生产过程中的问题提出了具体的安全措施，简要介绍了安全生产的工作程序、操作方法和控制技术。</w:t>
      </w:r>
    </w:p>
    <w:p w14:paraId="273E96D9">
      <w:pPr>
        <w:spacing w:line="367" w:lineRule="auto"/>
        <w:ind w:left="493" w:hanging="11"/>
        <w:jc w:val="both"/>
      </w:pPr>
      <w:r>
        <w:rPr>
          <w:rFonts w:hint="eastAsia"/>
          <w:lang w:val="en-US" w:eastAsia="zh-CN"/>
        </w:rPr>
        <w:t>6</w:t>
      </w:r>
      <w:r>
        <w:t>.《</w:t>
      </w:r>
      <w:r>
        <w:rPr>
          <w:rFonts w:hint="eastAsia"/>
        </w:rPr>
        <w:t>AI+</w:t>
      </w:r>
      <w:r>
        <w:rPr>
          <w:rFonts w:hint="eastAsia"/>
          <w:color w:val="000000" w:themeColor="text1"/>
          <w14:textFill>
            <w14:solidFill>
              <w14:schemeClr w14:val="tx1"/>
            </w14:solidFill>
          </w14:textFill>
        </w:rPr>
        <w:t>智慧环境检测</w:t>
      </w:r>
      <w:r>
        <w:t>》课程</w:t>
      </w:r>
    </w:p>
    <w:p w14:paraId="4F778AFC">
      <w:pPr>
        <w:spacing w:line="367" w:lineRule="auto"/>
        <w:ind w:left="493" w:hanging="11"/>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负责人：刘红</w:t>
      </w:r>
      <w:r>
        <w:rPr>
          <w:rFonts w:hint="eastAsia"/>
          <w:lang w:val="en-US" w:eastAsia="zh-CN"/>
        </w:rPr>
        <w:t>（企业)</w:t>
      </w:r>
    </w:p>
    <w:p w14:paraId="7482D8B2">
      <w:pPr>
        <w:spacing w:line="367" w:lineRule="auto"/>
        <w:ind w:left="493" w:hanging="11"/>
        <w:jc w:val="both"/>
        <w:rPr>
          <w:rFonts w:hint="eastAsia" w:ascii="黑体" w:hAnsi="黑体" w:eastAsia="黑体" w:cs="Times New Roman"/>
          <w:color w:val="000000"/>
          <w:sz w:val="21"/>
          <w:szCs w:val="21"/>
          <w:lang w:eastAsia="zh-CN"/>
        </w:rPr>
      </w:pPr>
      <w:r>
        <w:rPr>
          <w:rFonts w:hint="eastAsia"/>
          <w:color w:val="000000" w:themeColor="text1"/>
          <w14:textFill>
            <w14:solidFill>
              <w14:schemeClr w14:val="tx1"/>
            </w14:solidFill>
          </w14:textFill>
        </w:rPr>
        <w:t>教学团队：刘红，朱远征</w:t>
      </w:r>
    </w:p>
    <w:p w14:paraId="0E96A201">
      <w:pPr>
        <w:spacing w:line="367" w:lineRule="auto"/>
        <w:ind w:left="0" w:leftChars="0" w:firstLine="480" w:firstLineChars="200"/>
        <w:jc w:val="both"/>
      </w:pPr>
      <w:r>
        <w:t>课程简介：</w:t>
      </w:r>
      <w:r>
        <w:rPr>
          <w:rFonts w:hint="eastAsia"/>
        </w:rPr>
        <w:t>本课程聚焦智慧环境检测领域的前沿技术，系统介绍大数据、物联网、</w:t>
      </w:r>
      <w:r>
        <w:t>5G、人工智能、传感器、卫星遥感等技术在环境监测中的创新应用。特别强化AI技术赋能教学实践，通过理论与实践结合，学生将掌握AI驱动的环境数据分析模型、智能监测设备操作及机器学习算法在污染源识别中的应用。课程通过虚拟仿真平台、AI工具包等数字化资源，实现“AI技术学习—模拟场景训练—真实案例解析”的全链条培养，培养学生利用AI技术解决复杂环境问题的能力，提升其在环保领域的技术创新素养。课程强调技术赋能环境管理，为未来在智</w:t>
      </w:r>
      <w:r>
        <w:rPr>
          <w:rFonts w:hint="eastAsia"/>
        </w:rPr>
        <w:t>慧环保、智慧城市等领域的职业发展奠定基础。</w:t>
      </w:r>
    </w:p>
    <w:p w14:paraId="2AE080E0">
      <w:pPr>
        <w:spacing w:line="367" w:lineRule="auto"/>
        <w:ind w:left="493" w:hanging="11"/>
        <w:jc w:val="both"/>
      </w:pPr>
      <w:r>
        <w:rPr>
          <w:rFonts w:hint="eastAsia"/>
          <w:lang w:val="en-US" w:eastAsia="zh-CN"/>
        </w:rPr>
        <w:t>7</w:t>
      </w:r>
      <w:r>
        <w:t>.《</w:t>
      </w:r>
      <w:r>
        <w:rPr>
          <w:rFonts w:hint="eastAsia"/>
          <w:color w:val="000000" w:themeColor="text1"/>
          <w14:textFill>
            <w14:solidFill>
              <w14:schemeClr w14:val="tx1"/>
            </w14:solidFill>
          </w14:textFill>
        </w:rPr>
        <w:t>数字技术与创新实践</w:t>
      </w:r>
      <w:r>
        <w:t>》课程</w:t>
      </w:r>
    </w:p>
    <w:p w14:paraId="203DD9DE">
      <w:pPr>
        <w:spacing w:line="367" w:lineRule="auto"/>
        <w:ind w:left="493" w:hanging="11"/>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负责人：张淑平 </w:t>
      </w:r>
    </w:p>
    <w:p w14:paraId="3763C3E1">
      <w:pPr>
        <w:spacing w:line="367" w:lineRule="auto"/>
        <w:ind w:left="493" w:hanging="11"/>
        <w:jc w:val="both"/>
        <w:rPr>
          <w:rFonts w:hint="default" w:eastAsia="仿宋"/>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教学团队：王红</w:t>
      </w:r>
      <w:r>
        <w:rPr>
          <w:rFonts w:hint="eastAsia"/>
          <w:lang w:val="en-US" w:eastAsia="zh-CN"/>
        </w:rPr>
        <w:t>（企业)</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许宝东</w:t>
      </w:r>
      <w:r>
        <w:rPr>
          <w:rFonts w:hint="eastAsia"/>
          <w:lang w:val="en-US" w:eastAsia="zh-CN"/>
        </w:rPr>
        <w:t>（企业)</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程平</w:t>
      </w:r>
    </w:p>
    <w:p w14:paraId="3F392A68">
      <w:pPr>
        <w:spacing w:line="367" w:lineRule="auto"/>
        <w:ind w:left="0" w:leftChars="0" w:firstLine="480" w:firstLineChars="200"/>
        <w:jc w:val="both"/>
      </w:pPr>
      <w:r>
        <w:t>课程简介：</w:t>
      </w:r>
      <w:r>
        <w:rPr>
          <w:rFonts w:hint="eastAsia"/>
        </w:rPr>
        <w:t>本课程聚焦化工行业数字化与智能化转型，以</w:t>
      </w:r>
      <w:r>
        <w:t>AI技术为核心驱动力，融合工业互联网、数字孪生、智能系统开发等前沿技术。课程强化AI赋能教学实践，通过虚拟仿真平台、工业APP开发工具及机器学习算法，引导学生掌握AI在化工数字工厂设计、智能生产优化、环境监测等场景的应用。理论教学结合《智能化工集成系统》教材，实践环节依托supOS工业互联网平台，实现“AI技术学习—数字化工具操作—真实项目开发”的全链条培养，培养学生利用数字技术解决复杂工程问题的能力，为其在智慧化工、智能制造领域的职</w:t>
      </w:r>
      <w:r>
        <w:rPr>
          <w:rFonts w:hint="eastAsia"/>
        </w:rPr>
        <w:t>业发展奠定基础。</w:t>
      </w:r>
    </w:p>
    <w:p w14:paraId="74579C23">
      <w:pPr>
        <w:pStyle w:val="2"/>
        <w:ind w:left="564"/>
      </w:pPr>
      <w:r>
        <w:rPr>
          <w:rFonts w:hint="eastAsia"/>
        </w:rPr>
        <w:t>六</w:t>
      </w:r>
      <w:r>
        <w:t>、</w:t>
      </w:r>
      <w:r>
        <w:rPr>
          <w:rFonts w:hint="eastAsia"/>
        </w:rPr>
        <w:t>师资队伍</w:t>
      </w:r>
    </w:p>
    <w:p w14:paraId="7C9E4066">
      <w:pPr>
        <w:spacing w:line="367" w:lineRule="auto"/>
        <w:ind w:left="0" w:leftChars="0" w:firstLine="480" w:firstLineChars="200"/>
        <w:jc w:val="both"/>
        <w:rPr>
          <w:rFonts w:hint="eastAsia"/>
          <w:lang w:val="en-US" w:eastAsia="zh-CN"/>
        </w:rPr>
      </w:pPr>
      <w:r>
        <w:rPr>
          <w:rFonts w:hint="eastAsia"/>
          <w:lang w:val="en-US" w:eastAsia="zh-CN"/>
        </w:rPr>
        <w:t>1、</w:t>
      </w:r>
      <w:r>
        <w:rPr>
          <w:rFonts w:hint="eastAsia"/>
        </w:rPr>
        <w:t>张淑平 博士，教授（材料与化学学院/上海理工大学），上海理工大学</w:t>
      </w:r>
      <w:r>
        <w:rPr>
          <w:rFonts w:hint="eastAsia"/>
          <w:lang w:val="en-US" w:eastAsia="zh-CN"/>
        </w:rPr>
        <w:t>教授，绿色化学与海洋生物材料团队带头人，化学化学工程硕士点负责人，化学学科带头人，兼任上海市化学化工学会理事，研究方向：海藻及生物化工生物制造、电化学传感、生物小分子构效模拟计算，在海藻领域有影响力。主讲《高等物理化学》研究生课程、《物理化学》、《认知实习》等本科生课程。上海领军人才，2023获上海工匠，2013创建的海藻化学生物制造工作室2020获上海市劳模创新工作室，。曾获国家海洋创新成果奖、上海市技术发明奖、上海市巾帼创新奖、吴蕴初奖等。</w:t>
      </w:r>
    </w:p>
    <w:p w14:paraId="5234C77F">
      <w:pPr>
        <w:spacing w:line="367" w:lineRule="auto"/>
        <w:ind w:left="0" w:leftChars="0" w:firstLine="480" w:firstLineChars="200"/>
        <w:jc w:val="both"/>
        <w:rPr>
          <w:rFonts w:hint="eastAsia"/>
          <w:lang w:val="en-US" w:eastAsia="zh-CN"/>
        </w:rPr>
      </w:pPr>
      <w:r>
        <w:rPr>
          <w:rFonts w:hint="eastAsia"/>
          <w:lang w:val="en-US" w:eastAsia="zh-CN"/>
        </w:rPr>
        <w:t>2、</w:t>
      </w:r>
      <w:r>
        <w:rPr>
          <w:rFonts w:hint="eastAsia"/>
          <w:b/>
          <w:bCs/>
          <w:i/>
          <w:iCs/>
          <w:lang w:val="en-US" w:eastAsia="zh-CN"/>
        </w:rPr>
        <w:t>许宝东（企业人员）</w:t>
      </w:r>
      <w:r>
        <w:rPr>
          <w:rFonts w:hint="eastAsia"/>
          <w:lang w:val="en-US" w:eastAsia="zh-CN"/>
        </w:rPr>
        <w:t>，高级工程师，硕士，上海电缆研究所有限公司培训中心副主任、全国电线电缆质量追溯与服务平台办公室副主任，中国电工技术学会电线电缆专业委员会委员。专业研究质量安全追溯和企业数字化赋能发展，是《电线电缆企业质量追溯数字化能力评价规范》（中国机械工业联合会团体标准）第一起草人。曾任上市公司副总经济师。参与编写《中国线缆产业发展现状与策略建议咨询报告》。</w:t>
      </w:r>
    </w:p>
    <w:p w14:paraId="074B1F84">
      <w:pPr>
        <w:spacing w:line="367" w:lineRule="auto"/>
        <w:ind w:left="0" w:leftChars="0" w:firstLine="480" w:firstLineChars="200"/>
        <w:jc w:val="both"/>
        <w:rPr>
          <w:rFonts w:hint="eastAsia"/>
        </w:rPr>
      </w:pPr>
      <w:r>
        <w:rPr>
          <w:rFonts w:hint="eastAsia"/>
          <w:lang w:val="en-US" w:eastAsia="zh-CN"/>
        </w:rPr>
        <w:t>3、</w:t>
      </w:r>
      <w:r>
        <w:rPr>
          <w:rFonts w:hint="eastAsia"/>
          <w:b/>
          <w:bCs/>
          <w:i/>
          <w:iCs/>
          <w:lang w:val="en-US" w:eastAsia="zh-CN"/>
        </w:rPr>
        <w:t>刘红</w:t>
      </w:r>
      <w:bookmarkStart w:id="7" w:name="OLE_LINK10"/>
      <w:r>
        <w:rPr>
          <w:rFonts w:hint="eastAsia"/>
          <w:b/>
          <w:bCs/>
          <w:i/>
          <w:iCs/>
          <w:lang w:val="en-US" w:eastAsia="zh-CN"/>
        </w:rPr>
        <w:t>（企业人员）</w:t>
      </w:r>
      <w:bookmarkEnd w:id="7"/>
      <w:r>
        <w:rPr>
          <w:rFonts w:hint="eastAsia"/>
          <w:b/>
          <w:bCs/>
          <w:i/>
          <w:iCs/>
          <w:lang w:val="en-US" w:eastAsia="zh-CN"/>
        </w:rPr>
        <w:t xml:space="preserve">， </w:t>
      </w:r>
      <w:r>
        <w:rPr>
          <w:rFonts w:hint="eastAsia"/>
        </w:rPr>
        <w:t>硕士，高级工程师</w:t>
      </w:r>
      <w:r>
        <w:rPr>
          <w:rFonts w:hint="eastAsia"/>
          <w:lang w:val="en-US" w:eastAsia="zh-CN"/>
        </w:rPr>
        <w:t>,</w:t>
      </w:r>
      <w:bookmarkStart w:id="8" w:name="OLE_LINK6"/>
      <w:r>
        <w:rPr>
          <w:rFonts w:hint="eastAsia"/>
          <w:lang w:val="en-US" w:eastAsia="zh-CN"/>
        </w:rPr>
        <w:t>上海华谊环保科技有限公司董事长，上海华谊集团投资有限公司环保科技业务部总经理，上海化学工业检验检测公司董事长，上海市化工环境保护监测站 书记、站长，华谊集团碳中和委员会秘书长。</w:t>
      </w:r>
    </w:p>
    <w:bookmarkEnd w:id="8"/>
    <w:p w14:paraId="584B825D">
      <w:pPr>
        <w:spacing w:line="367" w:lineRule="auto"/>
        <w:ind w:left="0" w:leftChars="0" w:firstLine="480" w:firstLineChars="200"/>
        <w:jc w:val="both"/>
      </w:pPr>
      <w:r>
        <w:t>3</w:t>
      </w:r>
      <w:r>
        <w:rPr>
          <w:rFonts w:hint="eastAsia"/>
        </w:rPr>
        <w:t>、马杰 博士，副教授（材料与化学学院</w:t>
      </w:r>
      <w:r>
        <w:t>/上海理工大学）</w:t>
      </w:r>
      <w:r>
        <w:rPr>
          <w:rFonts w:hint="eastAsia"/>
          <w:lang w:eastAsia="zh-CN"/>
        </w:rPr>
        <w:t>，</w:t>
      </w:r>
      <w:r>
        <w:rPr>
          <w:rFonts w:hint="eastAsia"/>
        </w:rPr>
        <w:t>主要研究领域为材料化学、水污染化学、废弃物资源化，研究方向包括有机荧光分子设计及应用性能研究；水中污染物检测与吸附；废锂电池电极材料的再生资源化，建立以水</w:t>
      </w:r>
      <w:r>
        <w:t>-乙醇为介质制备过渡金属混合价氧化物、铁氧体纳米材料的溶剂热体系；开发系列功能磁纳米金属离子固相萃取分离体系；开发系列小分子或离子的聚集诱导荧光检测体系；初步建立废三元锂电池黑粉资源化途径。主持完成国家自然科学青年基金项目一项和上海市自然基金一项，参与多项国家自然基金项目。在J Mater Sci, J. Photochem Photobio A, Colloid Surface A, RSC Adv.等国际刊物上发表SCI论文40余篇，获国家发明专利4项。在学生培养方面，已有多名研究生获取市级、校</w:t>
      </w:r>
      <w:r>
        <w:rPr>
          <w:rFonts w:hint="eastAsia"/>
        </w:rPr>
        <w:t>级优秀毕业生。开设了多门课程，包括绿色制备化学（绿色化学，研究生课程）；材料化学、高分子化学、分析化学</w:t>
      </w:r>
      <w:r>
        <w:t>B（本科生理论课程）</w:t>
      </w:r>
    </w:p>
    <w:p w14:paraId="5D35FCB7">
      <w:pPr>
        <w:spacing w:line="367" w:lineRule="auto"/>
        <w:ind w:left="0" w:leftChars="0" w:firstLine="480" w:firstLineChars="200"/>
        <w:jc w:val="both"/>
      </w:pPr>
      <w:r>
        <w:rPr>
          <w:rFonts w:hint="eastAsia"/>
        </w:rPr>
        <w:t>4、马忠 博士，副教授</w:t>
      </w:r>
      <w:r>
        <w:t>（</w:t>
      </w:r>
      <w:r>
        <w:rPr>
          <w:rFonts w:hint="eastAsia"/>
        </w:rPr>
        <w:t>材料与化学学院/上海理工大学</w:t>
      </w:r>
      <w:r>
        <w:t>）</w:t>
      </w:r>
      <w:r>
        <w:rPr>
          <w:rFonts w:hint="eastAsia"/>
          <w:lang w:eastAsia="zh-CN"/>
        </w:rPr>
        <w:t>，</w:t>
      </w:r>
      <w:r>
        <w:rPr>
          <w:rFonts w:hint="eastAsia"/>
        </w:rPr>
        <w:t>主要从事电化学催化和绿色能源储存相关材料的开发和应用，包括氢能和二次电池相关关键材料的开发。至今以第一作者发表</w:t>
      </w:r>
      <w:r>
        <w:t>20余篇学术论文，包括Angew. Chem. Int. Edit.，Energy Environ. Sci.，Adv. Funct. Mater.等，其中ESI高被引论文2篇，被同行他引超过2000余次。获授权专利7项。主持</w:t>
      </w:r>
      <w:r>
        <w:rPr>
          <w:rFonts w:hint="eastAsia"/>
        </w:rPr>
        <w:t>国</w:t>
      </w:r>
      <w:r>
        <w:t>家自然科学青年基金项目</w:t>
      </w:r>
      <w:r>
        <w:rPr>
          <w:rFonts w:hint="eastAsia"/>
        </w:rPr>
        <w:t>1</w:t>
      </w:r>
      <w:r>
        <w:t>项，</w:t>
      </w:r>
      <w:r>
        <w:rPr>
          <w:rFonts w:hint="eastAsia"/>
        </w:rPr>
        <w:t>开设了多门课程，包括《芯片制造中的化学》，《催化基础》，《大变局中的科技强国之路》，《认知实习》和《普通化学》等。</w:t>
      </w:r>
    </w:p>
    <w:p w14:paraId="0BE5EDFA">
      <w:pPr>
        <w:spacing w:line="367" w:lineRule="auto"/>
        <w:ind w:left="0" w:leftChars="0" w:firstLine="480" w:firstLineChars="200"/>
        <w:jc w:val="both"/>
        <w:rPr>
          <w:rFonts w:hint="default"/>
          <w:lang w:val="en-US"/>
        </w:rPr>
      </w:pPr>
      <w:r>
        <w:rPr>
          <w:rFonts w:hint="eastAsia"/>
        </w:rPr>
        <w:t>5、</w:t>
      </w:r>
      <w:r>
        <w:rPr>
          <w:rFonts w:hint="eastAsia"/>
          <w:b/>
          <w:bCs/>
          <w:i/>
          <w:iCs/>
          <w:lang w:val="en-US" w:eastAsia="zh-CN"/>
        </w:rPr>
        <w:t>王红(企业人员）</w:t>
      </w:r>
      <w:r>
        <w:rPr>
          <w:rFonts w:hint="eastAsia"/>
          <w:lang w:eastAsia="zh-CN"/>
        </w:rPr>
        <w:t>，</w:t>
      </w:r>
      <w:bookmarkStart w:id="9" w:name="OLE_LINK5"/>
      <w:r>
        <w:rPr>
          <w:rFonts w:hint="eastAsia"/>
          <w:lang w:eastAsia="zh-CN"/>
        </w:rPr>
        <w:t>宝山钢铁股份有限公司厚板事业部，</w:t>
      </w:r>
      <w:r>
        <w:rPr>
          <w:rFonts w:hint="eastAsia"/>
          <w:lang w:val="en-US" w:eastAsia="zh-CN"/>
        </w:rPr>
        <w:t>电气维护工程师，</w:t>
      </w:r>
      <w:bookmarkEnd w:id="9"/>
      <w:r>
        <w:rPr>
          <w:rFonts w:hint="eastAsia"/>
          <w:lang w:val="en-US" w:eastAsia="zh-CN"/>
        </w:rPr>
        <w:t>工程硕士，曾获上海工匠、上海科技进步奖二等奖等荣誉，是上海工匠大讲堂特聘讲师，精通宽厚板生产，掌握核心控制技术，为核电用钢、深海石油管线钢等大国重器高质量保供。</w:t>
      </w:r>
      <w:r>
        <w:rPr>
          <w:rFonts w:hint="eastAsia"/>
        </w:rPr>
        <w:t>累计申请专利</w:t>
      </w:r>
      <w:r>
        <w:rPr>
          <w:rFonts w:hint="eastAsia"/>
          <w:lang w:val="en-US" w:eastAsia="zh-CN"/>
        </w:rPr>
        <w:t>近60</w:t>
      </w:r>
      <w:r>
        <w:rPr>
          <w:rFonts w:hint="eastAsia"/>
        </w:rPr>
        <w:t>项</w:t>
      </w:r>
      <w:r>
        <w:rPr>
          <w:rFonts w:hint="eastAsia"/>
          <w:lang w:eastAsia="zh-CN"/>
        </w:rPr>
        <w:t>，</w:t>
      </w:r>
      <w:r>
        <w:rPr>
          <w:rFonts w:hint="eastAsia"/>
        </w:rPr>
        <w:t>多项创新成果在国际</w:t>
      </w:r>
      <w:r>
        <w:rPr>
          <w:rFonts w:hint="eastAsia"/>
          <w:lang w:val="en-US" w:eastAsia="zh-CN"/>
        </w:rPr>
        <w:t>国内</w:t>
      </w:r>
      <w:r>
        <w:rPr>
          <w:rFonts w:hint="eastAsia"/>
        </w:rPr>
        <w:t>各大发明展</w:t>
      </w:r>
      <w:r>
        <w:rPr>
          <w:rFonts w:hint="eastAsia"/>
          <w:lang w:val="en-US" w:eastAsia="zh-CN"/>
        </w:rPr>
        <w:t>上获奖，累计创效逾亿元。《</w:t>
      </w:r>
      <w:r>
        <w:rPr>
          <w:rFonts w:hint="eastAsia"/>
        </w:rPr>
        <w:t>高精度5m厚板加热关键技术创新与应用</w:t>
      </w:r>
      <w:r>
        <w:rPr>
          <w:rFonts w:hint="eastAsia"/>
          <w:lang w:eastAsia="zh-CN"/>
        </w:rPr>
        <w:t>》</w:t>
      </w:r>
      <w:r>
        <w:rPr>
          <w:rFonts w:hint="eastAsia"/>
          <w:lang w:val="en-US" w:eastAsia="zh-CN"/>
        </w:rPr>
        <w:t>技术</w:t>
      </w:r>
      <w:r>
        <w:rPr>
          <w:rFonts w:hint="eastAsia"/>
        </w:rPr>
        <w:t>打破国外技术垄断，达到国际先进水平</w:t>
      </w:r>
      <w:r>
        <w:rPr>
          <w:rFonts w:hint="eastAsia"/>
          <w:lang w:val="en-GB"/>
        </w:rPr>
        <w:t>，每年可减少CO</w:t>
      </w:r>
      <w:r>
        <w:rPr>
          <w:rFonts w:hint="eastAsia"/>
          <w:sz w:val="24"/>
          <w:vertAlign w:val="subscript"/>
          <w:lang w:val="en-GB"/>
        </w:rPr>
        <w:t>2</w:t>
      </w:r>
      <w:r>
        <w:rPr>
          <w:rFonts w:hint="eastAsia"/>
          <w:lang w:val="en-GB"/>
        </w:rPr>
        <w:t>排放2万吨</w:t>
      </w:r>
      <w:r>
        <w:rPr>
          <w:rFonts w:hint="eastAsia"/>
          <w:lang w:val="en-GB" w:eastAsia="zh-CN"/>
        </w:rPr>
        <w:t>，</w:t>
      </w:r>
      <w:r>
        <w:rPr>
          <w:rFonts w:hint="eastAsia"/>
          <w:lang w:val="en-US" w:eastAsia="zh-CN"/>
        </w:rPr>
        <w:t>该</w:t>
      </w:r>
      <w:r>
        <w:rPr>
          <w:rFonts w:hint="eastAsia"/>
          <w:lang w:val="en-GB"/>
        </w:rPr>
        <w:t>成果</w:t>
      </w:r>
      <w:r>
        <w:rPr>
          <w:rFonts w:hint="eastAsia"/>
        </w:rPr>
        <w:t>获“2022年度上海市科技进步奖</w:t>
      </w:r>
      <w:r>
        <w:rPr>
          <w:rFonts w:hint="eastAsia"/>
          <w:lang w:eastAsia="zh-CN"/>
        </w:rPr>
        <w:t>”。</w:t>
      </w:r>
    </w:p>
    <w:p w14:paraId="003F9296">
      <w:pPr>
        <w:spacing w:line="367" w:lineRule="auto"/>
        <w:ind w:left="0" w:leftChars="0" w:firstLine="480" w:firstLineChars="200"/>
        <w:jc w:val="both"/>
      </w:pPr>
      <w:r>
        <w:t>6</w:t>
      </w:r>
      <w:r>
        <w:rPr>
          <w:rFonts w:hint="eastAsia"/>
        </w:rPr>
        <w:t>、廉孜超博士，特聘教授</w:t>
      </w:r>
      <w:r>
        <w:t>（</w:t>
      </w:r>
      <w:r>
        <w:rPr>
          <w:rFonts w:hint="eastAsia"/>
        </w:rPr>
        <w:t>材料与化学学院/上海理工大学</w:t>
      </w:r>
      <w:r>
        <w:t>）</w:t>
      </w:r>
      <w:r>
        <w:rPr>
          <w:rFonts w:hint="eastAsia"/>
          <w:lang w:eastAsia="zh-CN"/>
        </w:rPr>
        <w:t>，</w:t>
      </w:r>
      <w:r>
        <w:rPr>
          <w:rFonts w:hint="eastAsia"/>
        </w:rPr>
        <w:t>研究领域及方向：长期围绕基于活性物种协同调控的光/光电水污染控制方法与机制开展研究。已开课程：《化工安全与环境保护》、《分析化学》、《分析化学实验》、《无机化学》、《普</w:t>
      </w:r>
      <w:r>
        <w:t>通化学》、《普通化学实验》等。学术成果：以第一/通讯作者发表SCI论文35篇，包括Nat. Sustain.、Nat. Commun.、J. Am. Chem. Soc.(2篇)、Angew. Chem. Int. Ed.（2篇）、Appl. Catal. B-Environ.(6篇)、ACS EST Engg.、Adv. Funct. Mater.(5篇)、Chem Catal.、ACS Nano、Chem. Eng. J.等，IF&gt;10的25篇。至今共发表SCI论文50篇，论文他引2400多次，6篇曾为ESI高被引论文，获JACS、JPCC等封面文章，获上海市自然科学二等奖（排名3），主持国家自然科学基金项目1项，上海市人才项目2项和上海市基金2项等，以第一发明人申请国家发明专利10件，获授权专利5件。JACS、Angew和Adv. Mater.等特邀审稿人。获得过上海市千人特聘专家、上海市东方学者特聘教授和日本学术</w:t>
      </w:r>
      <w:r>
        <w:rPr>
          <w:rFonts w:hint="eastAsia"/>
        </w:rPr>
        <w:t>振兴会（</w:t>
      </w:r>
      <w:r>
        <w:t>JSPS）特别研究员。中国可再生能源学会光化学专业委员会青年委员。eScience、Research、Inorganic Chemistry Frontiers青年编委和Scientific Reports编委。</w:t>
      </w:r>
    </w:p>
    <w:p w14:paraId="30994EF2">
      <w:pPr>
        <w:spacing w:line="367" w:lineRule="auto"/>
        <w:ind w:left="0" w:leftChars="0" w:firstLine="480" w:firstLineChars="200"/>
        <w:jc w:val="both"/>
        <w:rPr>
          <w:rFonts w:hint="eastAsia"/>
        </w:rPr>
      </w:pPr>
      <w:r>
        <w:t>7</w:t>
      </w:r>
      <w:r>
        <w:rPr>
          <w:rFonts w:hint="eastAsia"/>
        </w:rPr>
        <w:t>、朱远征</w:t>
      </w:r>
      <w:r>
        <w:t xml:space="preserve"> 博士,讲师（材料与化学学院/上海理工大学）</w:t>
      </w:r>
      <w:r>
        <w:rPr>
          <w:rFonts w:hint="eastAsia"/>
          <w:lang w:eastAsia="zh-CN"/>
        </w:rPr>
        <w:t>，</w:t>
      </w:r>
      <w:r>
        <w:rPr>
          <w:rFonts w:hint="eastAsia"/>
        </w:rPr>
        <w:t>主要从事纳米催化材料的制备及应用的研究。至今以第一作者或通讯作者发表10余篇学术论文，包括Dalton Trans.，ACS Appl. Energy Mater.，J. Cryst. Growth等。开设多门课程，包括普通化学，普通化学实验，催化基础，资源化学等。</w:t>
      </w:r>
    </w:p>
    <w:p w14:paraId="0A6AEDBF">
      <w:pPr>
        <w:spacing w:line="367" w:lineRule="auto"/>
        <w:ind w:left="0" w:leftChars="0" w:firstLine="480" w:firstLineChars="200"/>
        <w:jc w:val="both"/>
        <w:rPr>
          <w:rFonts w:hint="eastAsia"/>
        </w:rPr>
      </w:pPr>
      <w:r>
        <w:rPr>
          <w:rFonts w:hint="eastAsia"/>
        </w:rPr>
        <w:t>8、程平 博士，讲师（</w:t>
      </w:r>
      <w:r>
        <w:t>材料与化学学院/上海理工大学</w:t>
      </w:r>
      <w:r>
        <w:rPr>
          <w:rFonts w:hint="eastAsia"/>
        </w:rPr>
        <w:t>）</w:t>
      </w:r>
      <w:r>
        <w:rPr>
          <w:rFonts w:hint="eastAsia"/>
          <w:lang w:eastAsia="zh-CN"/>
        </w:rPr>
        <w:t>，</w:t>
      </w:r>
      <w:r>
        <w:rPr>
          <w:rFonts w:hint="eastAsia"/>
        </w:rPr>
        <w:t>研究领域主要为纳米材料的结构、稳定性及化学反应活性的第一性原理研究，已经教授研究生课《过程系统工程》、《化工过程模拟》。在国际知名杂志上发表SCI论文30余篇。</w:t>
      </w:r>
    </w:p>
    <w:p w14:paraId="30C06AFA">
      <w:pPr>
        <w:pStyle w:val="2"/>
        <w:ind w:left="564"/>
      </w:pPr>
      <w:r>
        <w:rPr>
          <w:rFonts w:hint="eastAsia"/>
        </w:rPr>
        <w:t>七</w:t>
      </w:r>
      <w:r>
        <w:t>、授课时间</w:t>
      </w:r>
    </w:p>
    <w:p w14:paraId="1C64B300">
      <w:pPr>
        <w:spacing w:after="87"/>
        <w:ind w:left="-15" w:firstLine="480"/>
      </w:pPr>
      <w:r>
        <w:rPr>
          <w:rFonts w:hint="eastAsia"/>
        </w:rPr>
        <w:t>统一安排在每年学术科研周、暑期进行，具体时间以当年度课表为准。</w:t>
      </w:r>
    </w:p>
    <w:p w14:paraId="4F03C0CF">
      <w:pPr>
        <w:pStyle w:val="2"/>
        <w:ind w:left="564"/>
      </w:pPr>
      <w:r>
        <w:rPr>
          <w:rFonts w:hint="eastAsia"/>
        </w:rPr>
        <w:t>八</w:t>
      </w:r>
      <w:r>
        <w:t>、修读证书</w:t>
      </w:r>
    </w:p>
    <w:p w14:paraId="40F70031">
      <w:pPr>
        <w:spacing w:after="87"/>
        <w:ind w:left="-15" w:firstLine="480"/>
      </w:pPr>
      <w:r>
        <w:rPr>
          <w:rFonts w:hint="eastAsia"/>
        </w:rPr>
        <w:t>每门</w:t>
      </w:r>
      <w:r>
        <w:t>课程</w:t>
      </w:r>
      <w:r>
        <w:rPr>
          <w:rFonts w:hint="eastAsia"/>
        </w:rPr>
        <w:t>修读完毕</w:t>
      </w:r>
      <w:r>
        <w:t>可获得</w:t>
      </w:r>
      <w:r>
        <w:rPr>
          <w:rFonts w:hint="eastAsia"/>
        </w:rPr>
        <w:t>该</w:t>
      </w:r>
      <w:r>
        <w:t>课程</w:t>
      </w:r>
      <w:r>
        <w:rPr>
          <w:rFonts w:hint="eastAsia"/>
        </w:rPr>
        <w:t>成绩，</w:t>
      </w:r>
      <w:r>
        <w:t>完成全部课程和实践活动并经考核合格，将获得</w:t>
      </w:r>
      <w:r>
        <w:rPr>
          <w:rFonts w:hint="eastAsia"/>
        </w:rPr>
        <w:t>上海理工</w:t>
      </w:r>
      <w:r>
        <w:t>大学</w:t>
      </w:r>
      <w:r>
        <w:rPr>
          <w:rFonts w:hint="eastAsia"/>
          <w:lang w:eastAsia="zh-CN"/>
        </w:rPr>
        <w:t>“</w:t>
      </w:r>
      <w:r>
        <w:t>AI+绿色化学与碳</w:t>
      </w:r>
      <w:r>
        <w:rPr>
          <w:rFonts w:hint="eastAsia"/>
          <w:lang w:val="en-US" w:eastAsia="zh-CN"/>
        </w:rPr>
        <w:t>计量</w:t>
      </w:r>
      <w:r>
        <w:t>管理微专业</w:t>
      </w:r>
      <w:r>
        <w:rPr>
          <w:rFonts w:hint="eastAsia"/>
        </w:rPr>
        <w:t>证书</w:t>
      </w:r>
      <w:r>
        <w:rPr>
          <w:rFonts w:hint="default"/>
          <w:lang w:val="en-US" w:eastAsia="zh-CN"/>
        </w:rPr>
        <w:t>”</w:t>
      </w:r>
      <w:r>
        <w:rPr>
          <w:rFonts w:hint="eastAsia"/>
          <w:lang w:val="en-US" w:eastAsia="zh-CN"/>
        </w:rPr>
        <w:t>和微专业“企业实践证书”</w:t>
      </w:r>
      <w:r>
        <w:t>。</w:t>
      </w:r>
    </w:p>
    <w:p w14:paraId="77AD166A">
      <w:pPr>
        <w:spacing w:after="134" w:line="259" w:lineRule="auto"/>
        <w:ind w:left="564"/>
      </w:pPr>
      <w:r>
        <w:rPr>
          <w:rFonts w:hint="eastAsia" w:ascii="黑体" w:hAnsi="黑体" w:eastAsia="黑体" w:cs="黑体"/>
          <w:sz w:val="28"/>
        </w:rPr>
        <w:t>九</w:t>
      </w:r>
      <w:r>
        <w:rPr>
          <w:rFonts w:ascii="黑体" w:hAnsi="黑体" w:eastAsia="黑体" w:cs="黑体"/>
          <w:sz w:val="28"/>
        </w:rPr>
        <w:t>、收费标准</w:t>
      </w:r>
    </w:p>
    <w:p w14:paraId="21B26013">
      <w:pPr>
        <w:spacing w:after="224" w:line="259" w:lineRule="auto"/>
      </w:pPr>
      <w:r>
        <w:t>130元/学分。</w:t>
      </w:r>
    </w:p>
    <w:p w14:paraId="770BD9A0">
      <w:pPr>
        <w:pStyle w:val="2"/>
        <w:ind w:left="564"/>
      </w:pPr>
      <w:r>
        <w:rPr>
          <w:rFonts w:hint="eastAsia"/>
        </w:rPr>
        <w:t>十、报名方式</w:t>
      </w:r>
    </w:p>
    <w:p w14:paraId="479A3ADF">
      <w:pPr>
        <w:ind w:firstLine="480" w:firstLineChars="200"/>
      </w:pPr>
      <w:r>
        <w:rPr>
          <w:rFonts w:hint="eastAsia"/>
        </w:rPr>
        <w:t>符合条件的研究生填写报名表提交学院，学院填写汇总表加盖公章后提交研究生院（卓越工程师学院）。</w:t>
      </w:r>
    </w:p>
    <w:p w14:paraId="5ACD1A2C">
      <w:pPr>
        <w:jc w:val="center"/>
      </w:pPr>
      <w:r>
        <w:rPr>
          <w:rFonts w:hint="eastAsia"/>
        </w:rPr>
        <w:t>材料与化学学院</w:t>
      </w:r>
    </w:p>
    <w:p w14:paraId="13BD81A4">
      <w:pPr>
        <w:jc w:val="center"/>
        <w:rPr>
          <w:rFonts w:hint="eastAsia"/>
        </w:rPr>
      </w:pPr>
      <w:r>
        <w:rPr>
          <w:rFonts w:hint="eastAsia"/>
        </w:rPr>
        <w:t>研究生院（卓越工程师学院）</w:t>
      </w:r>
    </w:p>
    <w:p w14:paraId="54BF262B">
      <w:pPr>
        <w:jc w:val="center"/>
        <w:rPr>
          <w:rFonts w:hint="default" w:eastAsia="仿宋"/>
          <w:lang w:val="en-US" w:eastAsia="zh-CN"/>
        </w:rPr>
      </w:pPr>
      <w:r>
        <w:rPr>
          <w:rFonts w:hint="eastAsia"/>
          <w:lang w:val="en-US" w:eastAsia="zh-CN"/>
        </w:rPr>
        <w:t>2025.4.20</w:t>
      </w:r>
    </w:p>
    <w:sectPr>
      <w:footerReference r:id="rId5" w:type="default"/>
      <w:pgSz w:w="11906" w:h="16838"/>
      <w:pgMar w:top="1445" w:right="1560" w:bottom="1570" w:left="1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3CD1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8B450">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48B450">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6" w:lineRule="auto"/>
      </w:pPr>
      <w:r>
        <w:separator/>
      </w:r>
    </w:p>
  </w:footnote>
  <w:footnote w:type="continuationSeparator" w:id="1">
    <w:p>
      <w:pPr>
        <w:spacing w:before="0" w:after="0" w:line="36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C24E4"/>
    <w:multiLevelType w:val="multilevel"/>
    <w:tmpl w:val="02FC24E4"/>
    <w:lvl w:ilvl="0" w:tentative="0">
      <w:start w:val="1"/>
      <w:numFmt w:val="decimal"/>
      <w:lvlText w:val="（%1）"/>
      <w:lvlJc w:val="left"/>
      <w:pPr>
        <w:ind w:left="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1">
    <w:nsid w:val="29C6560C"/>
    <w:multiLevelType w:val="multilevel"/>
    <w:tmpl w:val="29C6560C"/>
    <w:lvl w:ilvl="0" w:tentative="0">
      <w:start w:val="4"/>
      <w:numFmt w:val="japaneseCounting"/>
      <w:lvlText w:val="%1、"/>
      <w:lvlJc w:val="left"/>
      <w:pPr>
        <w:ind w:left="1289" w:hanging="720"/>
      </w:pPr>
      <w:rPr>
        <w:rFonts w:hint="default"/>
      </w:rPr>
    </w:lvl>
    <w:lvl w:ilvl="1" w:tentative="0">
      <w:start w:val="1"/>
      <w:numFmt w:val="lowerLetter"/>
      <w:lvlText w:val="%2)"/>
      <w:lvlJc w:val="left"/>
      <w:pPr>
        <w:ind w:left="1409" w:hanging="420"/>
      </w:pPr>
    </w:lvl>
    <w:lvl w:ilvl="2" w:tentative="0">
      <w:start w:val="1"/>
      <w:numFmt w:val="lowerRoman"/>
      <w:lvlText w:val="%3."/>
      <w:lvlJc w:val="right"/>
      <w:pPr>
        <w:ind w:left="1829" w:hanging="420"/>
      </w:pPr>
    </w:lvl>
    <w:lvl w:ilvl="3" w:tentative="0">
      <w:start w:val="1"/>
      <w:numFmt w:val="decimal"/>
      <w:lvlText w:val="%4."/>
      <w:lvlJc w:val="left"/>
      <w:pPr>
        <w:ind w:left="2249" w:hanging="420"/>
      </w:pPr>
    </w:lvl>
    <w:lvl w:ilvl="4" w:tentative="0">
      <w:start w:val="1"/>
      <w:numFmt w:val="lowerLetter"/>
      <w:lvlText w:val="%5)"/>
      <w:lvlJc w:val="left"/>
      <w:pPr>
        <w:ind w:left="2669" w:hanging="420"/>
      </w:pPr>
    </w:lvl>
    <w:lvl w:ilvl="5" w:tentative="0">
      <w:start w:val="1"/>
      <w:numFmt w:val="lowerRoman"/>
      <w:lvlText w:val="%6."/>
      <w:lvlJc w:val="right"/>
      <w:pPr>
        <w:ind w:left="3089" w:hanging="420"/>
      </w:pPr>
    </w:lvl>
    <w:lvl w:ilvl="6" w:tentative="0">
      <w:start w:val="1"/>
      <w:numFmt w:val="decimal"/>
      <w:lvlText w:val="%7."/>
      <w:lvlJc w:val="left"/>
      <w:pPr>
        <w:ind w:left="3509" w:hanging="420"/>
      </w:pPr>
    </w:lvl>
    <w:lvl w:ilvl="7" w:tentative="0">
      <w:start w:val="1"/>
      <w:numFmt w:val="lowerLetter"/>
      <w:lvlText w:val="%8)"/>
      <w:lvlJc w:val="left"/>
      <w:pPr>
        <w:ind w:left="3929" w:hanging="420"/>
      </w:pPr>
    </w:lvl>
    <w:lvl w:ilvl="8" w:tentative="0">
      <w:start w:val="1"/>
      <w:numFmt w:val="lowerRoman"/>
      <w:lvlText w:val="%9."/>
      <w:lvlJc w:val="right"/>
      <w:pPr>
        <w:ind w:left="4349" w:hanging="420"/>
      </w:pPr>
    </w:lvl>
  </w:abstractNum>
  <w:abstractNum w:abstractNumId="2">
    <w:nsid w:val="63FD1D6D"/>
    <w:multiLevelType w:val="multilevel"/>
    <w:tmpl w:val="63FD1D6D"/>
    <w:lvl w:ilvl="0" w:tentative="0">
      <w:start w:val="1"/>
      <w:numFmt w:val="japaneseCounting"/>
      <w:lvlText w:val="%1、"/>
      <w:lvlJc w:val="left"/>
      <w:pPr>
        <w:ind w:left="1274" w:hanging="720"/>
      </w:pPr>
      <w:rPr>
        <w:rFonts w:hint="default"/>
      </w:rPr>
    </w:lvl>
    <w:lvl w:ilvl="1" w:tentative="0">
      <w:start w:val="1"/>
      <w:numFmt w:val="lowerLetter"/>
      <w:lvlText w:val="%2)"/>
      <w:lvlJc w:val="left"/>
      <w:pPr>
        <w:ind w:left="1394" w:hanging="420"/>
      </w:pPr>
    </w:lvl>
    <w:lvl w:ilvl="2" w:tentative="0">
      <w:start w:val="1"/>
      <w:numFmt w:val="lowerRoman"/>
      <w:lvlText w:val="%3."/>
      <w:lvlJc w:val="right"/>
      <w:pPr>
        <w:ind w:left="1814" w:hanging="420"/>
      </w:pPr>
    </w:lvl>
    <w:lvl w:ilvl="3" w:tentative="0">
      <w:start w:val="1"/>
      <w:numFmt w:val="decimal"/>
      <w:lvlText w:val="%4."/>
      <w:lvlJc w:val="left"/>
      <w:pPr>
        <w:ind w:left="2234" w:hanging="420"/>
      </w:pPr>
    </w:lvl>
    <w:lvl w:ilvl="4" w:tentative="0">
      <w:start w:val="1"/>
      <w:numFmt w:val="lowerLetter"/>
      <w:lvlText w:val="%5)"/>
      <w:lvlJc w:val="left"/>
      <w:pPr>
        <w:ind w:left="2654" w:hanging="420"/>
      </w:pPr>
    </w:lvl>
    <w:lvl w:ilvl="5" w:tentative="0">
      <w:start w:val="1"/>
      <w:numFmt w:val="lowerRoman"/>
      <w:lvlText w:val="%6."/>
      <w:lvlJc w:val="right"/>
      <w:pPr>
        <w:ind w:left="3074" w:hanging="420"/>
      </w:pPr>
    </w:lvl>
    <w:lvl w:ilvl="6" w:tentative="0">
      <w:start w:val="1"/>
      <w:numFmt w:val="decimal"/>
      <w:lvlText w:val="%7."/>
      <w:lvlJc w:val="left"/>
      <w:pPr>
        <w:ind w:left="3494" w:hanging="420"/>
      </w:pPr>
    </w:lvl>
    <w:lvl w:ilvl="7" w:tentative="0">
      <w:start w:val="1"/>
      <w:numFmt w:val="lowerLetter"/>
      <w:lvlText w:val="%8)"/>
      <w:lvlJc w:val="left"/>
      <w:pPr>
        <w:ind w:left="3914" w:hanging="420"/>
      </w:pPr>
    </w:lvl>
    <w:lvl w:ilvl="8" w:tentative="0">
      <w:start w:val="1"/>
      <w:numFmt w:val="lowerRoman"/>
      <w:lvlText w:val="%9."/>
      <w:lvlJc w:val="right"/>
      <w:pPr>
        <w:ind w:left="4334"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yMTk2ZGE0OWFkNjAxMGFmNzU0YzQzZTYwZTEzNWUifQ=="/>
    <w:docVar w:name="KSO_WPS_MARK_KEY" w:val="ef0e3458-cab7-4d4c-889f-4c143b2a75f1"/>
  </w:docVars>
  <w:rsids>
    <w:rsidRoot w:val="00446897"/>
    <w:rsid w:val="00015712"/>
    <w:rsid w:val="00022DA0"/>
    <w:rsid w:val="00025B57"/>
    <w:rsid w:val="00030FC1"/>
    <w:rsid w:val="00037C17"/>
    <w:rsid w:val="000442A3"/>
    <w:rsid w:val="000501A3"/>
    <w:rsid w:val="000616FD"/>
    <w:rsid w:val="000831F5"/>
    <w:rsid w:val="000928C9"/>
    <w:rsid w:val="000D0696"/>
    <w:rsid w:val="00110400"/>
    <w:rsid w:val="00112DFF"/>
    <w:rsid w:val="00121CB3"/>
    <w:rsid w:val="00134C1F"/>
    <w:rsid w:val="0013709C"/>
    <w:rsid w:val="00142B12"/>
    <w:rsid w:val="00143D01"/>
    <w:rsid w:val="001762FC"/>
    <w:rsid w:val="00181A4D"/>
    <w:rsid w:val="00230D23"/>
    <w:rsid w:val="002324BB"/>
    <w:rsid w:val="00253147"/>
    <w:rsid w:val="00265B34"/>
    <w:rsid w:val="00286746"/>
    <w:rsid w:val="002D2AF2"/>
    <w:rsid w:val="002E177D"/>
    <w:rsid w:val="00330980"/>
    <w:rsid w:val="003346C6"/>
    <w:rsid w:val="0034176A"/>
    <w:rsid w:val="00344B43"/>
    <w:rsid w:val="003764CF"/>
    <w:rsid w:val="003E30D6"/>
    <w:rsid w:val="00446897"/>
    <w:rsid w:val="00493357"/>
    <w:rsid w:val="004C0A15"/>
    <w:rsid w:val="004C5149"/>
    <w:rsid w:val="00535596"/>
    <w:rsid w:val="00545FB2"/>
    <w:rsid w:val="00562F9A"/>
    <w:rsid w:val="005A4164"/>
    <w:rsid w:val="00612DC6"/>
    <w:rsid w:val="00613257"/>
    <w:rsid w:val="00620866"/>
    <w:rsid w:val="00627380"/>
    <w:rsid w:val="006917EE"/>
    <w:rsid w:val="006D4B13"/>
    <w:rsid w:val="007803BB"/>
    <w:rsid w:val="007A5FDE"/>
    <w:rsid w:val="008967DB"/>
    <w:rsid w:val="008E4344"/>
    <w:rsid w:val="00905915"/>
    <w:rsid w:val="00932B99"/>
    <w:rsid w:val="00993365"/>
    <w:rsid w:val="009B5C51"/>
    <w:rsid w:val="009E4F8D"/>
    <w:rsid w:val="00A35A0F"/>
    <w:rsid w:val="00A7146C"/>
    <w:rsid w:val="00A92F9B"/>
    <w:rsid w:val="00AC05D9"/>
    <w:rsid w:val="00AF63FD"/>
    <w:rsid w:val="00B55360"/>
    <w:rsid w:val="00BA65FD"/>
    <w:rsid w:val="00BD2DD5"/>
    <w:rsid w:val="00C0736E"/>
    <w:rsid w:val="00C678BC"/>
    <w:rsid w:val="00D06786"/>
    <w:rsid w:val="00D340F5"/>
    <w:rsid w:val="00DB1BD4"/>
    <w:rsid w:val="00DF1813"/>
    <w:rsid w:val="00E21C40"/>
    <w:rsid w:val="00E7498D"/>
    <w:rsid w:val="00EB6387"/>
    <w:rsid w:val="00ED1F1F"/>
    <w:rsid w:val="00ED4DF0"/>
    <w:rsid w:val="00EE33D1"/>
    <w:rsid w:val="00EE4BB0"/>
    <w:rsid w:val="00EF0786"/>
    <w:rsid w:val="00F02637"/>
    <w:rsid w:val="00F437A1"/>
    <w:rsid w:val="00F53166"/>
    <w:rsid w:val="00F91F97"/>
    <w:rsid w:val="00FC3EE9"/>
    <w:rsid w:val="00FD1737"/>
    <w:rsid w:val="00FE2C67"/>
    <w:rsid w:val="00FE61C6"/>
    <w:rsid w:val="094B45E6"/>
    <w:rsid w:val="0C1F75D8"/>
    <w:rsid w:val="0D8D0468"/>
    <w:rsid w:val="178B23FF"/>
    <w:rsid w:val="1B3C566B"/>
    <w:rsid w:val="1FAA0A77"/>
    <w:rsid w:val="20863F58"/>
    <w:rsid w:val="214740DC"/>
    <w:rsid w:val="26A86B45"/>
    <w:rsid w:val="2D0F0AF2"/>
    <w:rsid w:val="2D657EBE"/>
    <w:rsid w:val="366229CC"/>
    <w:rsid w:val="398614A9"/>
    <w:rsid w:val="3DD735DB"/>
    <w:rsid w:val="45010DB2"/>
    <w:rsid w:val="4B062767"/>
    <w:rsid w:val="4CA42808"/>
    <w:rsid w:val="52D15836"/>
    <w:rsid w:val="5A24608C"/>
    <w:rsid w:val="5CB57163"/>
    <w:rsid w:val="5FF713ED"/>
    <w:rsid w:val="66C375FC"/>
    <w:rsid w:val="69603675"/>
    <w:rsid w:val="6C2E094F"/>
    <w:rsid w:val="70E80927"/>
    <w:rsid w:val="72065F8F"/>
    <w:rsid w:val="74752631"/>
    <w:rsid w:val="7773681C"/>
    <w:rsid w:val="79CD3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66" w:lineRule="auto"/>
      <w:ind w:left="490" w:hanging="10"/>
    </w:pPr>
    <w:rPr>
      <w:rFonts w:ascii="仿宋" w:hAnsi="仿宋" w:eastAsia="仿宋" w:cs="仿宋"/>
      <w:color w:val="000000"/>
      <w:kern w:val="2"/>
      <w:sz w:val="24"/>
      <w:szCs w:val="22"/>
      <w:lang w:val="en-US" w:eastAsia="zh-CN" w:bidi="ar-SA"/>
    </w:rPr>
  </w:style>
  <w:style w:type="paragraph" w:styleId="2">
    <w:name w:val="heading 1"/>
    <w:next w:val="1"/>
    <w:link w:val="12"/>
    <w:qFormat/>
    <w:uiPriority w:val="9"/>
    <w:pPr>
      <w:keepNext/>
      <w:keepLines/>
      <w:spacing w:after="134" w:line="259" w:lineRule="auto"/>
      <w:ind w:left="579" w:hanging="10"/>
      <w:outlineLvl w:val="0"/>
    </w:pPr>
    <w:rPr>
      <w:rFonts w:ascii="黑体" w:hAnsi="黑体" w:eastAsia="黑体" w:cs="黑体"/>
      <w:color w:val="000000"/>
      <w:kern w:val="2"/>
      <w:sz w:val="28"/>
      <w:szCs w:val="22"/>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semiHidden/>
    <w:unhideWhenUsed/>
    <w:qFormat/>
    <w:uiPriority w:val="99"/>
  </w:style>
  <w:style w:type="paragraph" w:styleId="4">
    <w:name w:val="Balloon Text"/>
    <w:basedOn w:val="1"/>
    <w:link w:val="17"/>
    <w:semiHidden/>
    <w:unhideWhenUsed/>
    <w:qFormat/>
    <w:uiPriority w:val="99"/>
    <w:pPr>
      <w:spacing w:after="0" w:line="240" w:lineRule="auto"/>
    </w:pPr>
    <w:rPr>
      <w:sz w:val="18"/>
      <w:szCs w:val="18"/>
    </w:rPr>
  </w:style>
  <w:style w:type="paragraph" w:styleId="5">
    <w:name w:val="footer"/>
    <w:basedOn w:val="1"/>
    <w:link w:val="19"/>
    <w:unhideWhenUsed/>
    <w:qFormat/>
    <w:uiPriority w:val="99"/>
    <w:pPr>
      <w:tabs>
        <w:tab w:val="center" w:pos="4153"/>
        <w:tab w:val="right" w:pos="8306"/>
      </w:tabs>
      <w:snapToGrid w:val="0"/>
      <w:spacing w:line="240" w:lineRule="auto"/>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annotation subject"/>
    <w:basedOn w:val="3"/>
    <w:next w:val="3"/>
    <w:link w:val="15"/>
    <w:semiHidden/>
    <w:unhideWhenUsed/>
    <w:qFormat/>
    <w:uiPriority w:val="99"/>
    <w:rPr>
      <w:b/>
      <w:bCs/>
    </w:rPr>
  </w:style>
  <w:style w:type="character" w:styleId="10">
    <w:name w:val="Strong"/>
    <w:basedOn w:val="9"/>
    <w:qFormat/>
    <w:uiPriority w:val="22"/>
    <w:rPr>
      <w:b/>
      <w:bCs/>
    </w:rPr>
  </w:style>
  <w:style w:type="character" w:styleId="11">
    <w:name w:val="annotation reference"/>
    <w:basedOn w:val="9"/>
    <w:semiHidden/>
    <w:unhideWhenUsed/>
    <w:qFormat/>
    <w:uiPriority w:val="99"/>
    <w:rPr>
      <w:sz w:val="21"/>
      <w:szCs w:val="21"/>
    </w:rPr>
  </w:style>
  <w:style w:type="character" w:customStyle="1" w:styleId="12">
    <w:name w:val="标题 1 字符"/>
    <w:basedOn w:val="9"/>
    <w:link w:val="2"/>
    <w:qFormat/>
    <w:uiPriority w:val="9"/>
    <w:rPr>
      <w:rFonts w:ascii="黑体" w:hAnsi="黑体" w:eastAsia="黑体" w:cs="黑体"/>
      <w:color w:val="000000"/>
      <w:sz w:val="28"/>
    </w:rPr>
  </w:style>
  <w:style w:type="table" w:customStyle="1" w:styleId="13">
    <w:name w:val="TableGrid"/>
    <w:qFormat/>
    <w:uiPriority w:val="0"/>
    <w:tblPr>
      <w:tblCellMar>
        <w:top w:w="0" w:type="dxa"/>
        <w:left w:w="0" w:type="dxa"/>
        <w:bottom w:w="0" w:type="dxa"/>
        <w:right w:w="0" w:type="dxa"/>
      </w:tblCellMar>
    </w:tblPr>
  </w:style>
  <w:style w:type="character" w:customStyle="1" w:styleId="14">
    <w:name w:val="批注文字 字符"/>
    <w:basedOn w:val="9"/>
    <w:link w:val="3"/>
    <w:semiHidden/>
    <w:qFormat/>
    <w:uiPriority w:val="99"/>
    <w:rPr>
      <w:rFonts w:ascii="仿宋" w:hAnsi="仿宋" w:eastAsia="仿宋" w:cs="仿宋"/>
      <w:color w:val="000000"/>
      <w:sz w:val="24"/>
    </w:rPr>
  </w:style>
  <w:style w:type="character" w:customStyle="1" w:styleId="15">
    <w:name w:val="批注主题 字符"/>
    <w:basedOn w:val="14"/>
    <w:link w:val="7"/>
    <w:semiHidden/>
    <w:qFormat/>
    <w:uiPriority w:val="99"/>
    <w:rPr>
      <w:rFonts w:ascii="仿宋" w:hAnsi="仿宋" w:eastAsia="仿宋" w:cs="仿宋"/>
      <w:b/>
      <w:bCs/>
      <w:color w:val="000000"/>
      <w:sz w:val="24"/>
    </w:rPr>
  </w:style>
  <w:style w:type="paragraph" w:customStyle="1" w:styleId="16">
    <w:name w:val="Revision1"/>
    <w:hidden/>
    <w:semiHidden/>
    <w:qFormat/>
    <w:uiPriority w:val="99"/>
    <w:rPr>
      <w:rFonts w:ascii="仿宋" w:hAnsi="仿宋" w:eastAsia="仿宋" w:cs="仿宋"/>
      <w:color w:val="000000"/>
      <w:kern w:val="2"/>
      <w:sz w:val="24"/>
      <w:szCs w:val="22"/>
      <w:lang w:val="en-US" w:eastAsia="zh-CN" w:bidi="ar-SA"/>
    </w:rPr>
  </w:style>
  <w:style w:type="character" w:customStyle="1" w:styleId="17">
    <w:name w:val="批注框文本 字符"/>
    <w:basedOn w:val="9"/>
    <w:link w:val="4"/>
    <w:semiHidden/>
    <w:qFormat/>
    <w:uiPriority w:val="99"/>
    <w:rPr>
      <w:rFonts w:ascii="仿宋" w:hAnsi="仿宋" w:eastAsia="仿宋" w:cs="仿宋"/>
      <w:color w:val="000000"/>
      <w:sz w:val="18"/>
      <w:szCs w:val="18"/>
    </w:rPr>
  </w:style>
  <w:style w:type="character" w:customStyle="1" w:styleId="18">
    <w:name w:val="页眉 字符"/>
    <w:basedOn w:val="9"/>
    <w:link w:val="6"/>
    <w:qFormat/>
    <w:uiPriority w:val="99"/>
    <w:rPr>
      <w:rFonts w:ascii="仿宋" w:hAnsi="仿宋" w:eastAsia="仿宋" w:cs="仿宋"/>
      <w:color w:val="000000"/>
      <w:sz w:val="18"/>
      <w:szCs w:val="18"/>
    </w:rPr>
  </w:style>
  <w:style w:type="character" w:customStyle="1" w:styleId="19">
    <w:name w:val="页脚 字符"/>
    <w:basedOn w:val="9"/>
    <w:link w:val="5"/>
    <w:qFormat/>
    <w:uiPriority w:val="99"/>
    <w:rPr>
      <w:rFonts w:ascii="仿宋" w:hAnsi="仿宋" w:eastAsia="仿宋" w:cs="仿宋"/>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918DF5-9E8F-48AD-A3C3-0B79F838EBDA}">
  <ds:schemaRefs/>
</ds:datastoreItem>
</file>

<file path=docProps/app.xml><?xml version="1.0" encoding="utf-8"?>
<Properties xmlns="http://schemas.openxmlformats.org/officeDocument/2006/extended-properties" xmlns:vt="http://schemas.openxmlformats.org/officeDocument/2006/docPropsVTypes">
  <Template>Normal</Template>
  <Company>上海理工大学</Company>
  <Pages>8</Pages>
  <Words>5660</Words>
  <Characters>6114</Characters>
  <Lines>42</Lines>
  <Paragraphs>12</Paragraphs>
  <TotalTime>3</TotalTime>
  <ScaleCrop>false</ScaleCrop>
  <LinksUpToDate>false</LinksUpToDate>
  <CharactersWithSpaces>6180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2025-03-31T14:33:00Z</dcterms:created>
  <dc:creator>JIE</dc:creator>
  <cp:lastModifiedBy>靓</cp:lastModifiedBy>
  <cp:lastPrinted>2025-05-05T12:49:00Z</cp:lastPrinted>
  <dcterms:modified xsi:type="dcterms:W3CDTF">2025-05-23T08:56:05Z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eyJoZGlkIjoiNDZhZDAyMzI2ZmRiYzY5YTk3ZDk0OTEzOGY4Y2Y3NWMiLCJ1c2VySWQiOiI2MjU2NjczODcifQ==</vt:lpwstr>
  </property>
  <property fmtid="{D5CDD505-2E9C-101B-9397-08002B2CF9AE}" pid="3" name="KSOProductBuildVer">
    <vt:lpwstr>2052-12.1.0.21171</vt:lpwstr>
  </property>
  <property fmtid="{D5CDD505-2E9C-101B-9397-08002B2CF9AE}" pid="4" name="ICV">
    <vt:lpwstr>91D7D84F5832494F96089C2C1A593DB8</vt:lpwstr>
  </property>
</Properties>
</file>